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9736" w14:textId="558E1549" w:rsidR="00A34F4B" w:rsidRDefault="00A34F4B" w:rsidP="00242A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lead lag analysis of banking sector watchlist, outlook and credit rating announcements between Moody’s and S&amp;P.</w:t>
      </w:r>
    </w:p>
    <w:p w14:paraId="46D386DB" w14:textId="3BE96AA2" w:rsidR="00A34F4B" w:rsidRDefault="00A34F4B" w:rsidP="00242AE1">
      <w:pPr>
        <w:spacing w:line="360" w:lineRule="auto"/>
        <w:contextualSpacing/>
        <w:jc w:val="both"/>
        <w:rPr>
          <w:rFonts w:ascii="Times New Roman" w:hAnsi="Times New Roman" w:cs="Times New Roman"/>
          <w:sz w:val="24"/>
          <w:szCs w:val="24"/>
        </w:rPr>
      </w:pPr>
    </w:p>
    <w:p w14:paraId="04AC91FC" w14:textId="25F92BEE" w:rsidR="00A34F4B" w:rsidRDefault="00A34F4B" w:rsidP="00242A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Surraya Rowe</w:t>
      </w:r>
    </w:p>
    <w:p w14:paraId="631710F1" w14:textId="06F1D255" w:rsidR="00A34F4B" w:rsidRDefault="00A34F4B" w:rsidP="00242AE1">
      <w:pPr>
        <w:spacing w:line="360" w:lineRule="auto"/>
        <w:contextualSpacing/>
        <w:jc w:val="both"/>
        <w:rPr>
          <w:rFonts w:ascii="Times New Roman" w:hAnsi="Times New Roman" w:cs="Times New Roman"/>
          <w:sz w:val="24"/>
          <w:szCs w:val="24"/>
        </w:rPr>
      </w:pPr>
    </w:p>
    <w:p w14:paraId="061EC61F" w14:textId="50E41F0E" w:rsidR="00A34F4B" w:rsidRDefault="00A34F4B" w:rsidP="00242A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Cardiff Metropolitan University, Cardiff School of Management, Western Avenue, Cardiff, CF5 2YB</w:t>
      </w:r>
    </w:p>
    <w:p w14:paraId="5A8831E1" w14:textId="35EE5DC1" w:rsidR="00A34F4B" w:rsidRDefault="00A34F4B" w:rsidP="00242AE1">
      <w:pPr>
        <w:spacing w:line="360" w:lineRule="auto"/>
        <w:contextualSpacing/>
        <w:jc w:val="both"/>
        <w:rPr>
          <w:rFonts w:ascii="Times New Roman" w:hAnsi="Times New Roman" w:cs="Times New Roman"/>
          <w:sz w:val="24"/>
          <w:szCs w:val="24"/>
        </w:rPr>
      </w:pPr>
    </w:p>
    <w:p w14:paraId="148F86DD" w14:textId="7EA4C8AD" w:rsidR="00A34F4B" w:rsidRDefault="00A34F4B" w:rsidP="00242A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Keywords: </w:t>
      </w:r>
      <w:r w:rsidRPr="00FD0949">
        <w:rPr>
          <w:rFonts w:ascii="Times New Roman" w:hAnsi="Times New Roman" w:cs="Times New Roman"/>
          <w:sz w:val="24"/>
          <w:szCs w:val="24"/>
        </w:rPr>
        <w:t xml:space="preserve">Bank </w:t>
      </w:r>
      <w:r>
        <w:rPr>
          <w:rFonts w:ascii="Times New Roman" w:hAnsi="Times New Roman" w:cs="Times New Roman"/>
          <w:sz w:val="24"/>
          <w:szCs w:val="24"/>
        </w:rPr>
        <w:t>r</w:t>
      </w:r>
      <w:r w:rsidRPr="00FD0949">
        <w:rPr>
          <w:rFonts w:ascii="Times New Roman" w:hAnsi="Times New Roman" w:cs="Times New Roman"/>
          <w:sz w:val="24"/>
          <w:szCs w:val="24"/>
        </w:rPr>
        <w:t>atings,</w:t>
      </w:r>
      <w:r>
        <w:rPr>
          <w:rFonts w:ascii="Times New Roman" w:hAnsi="Times New Roman" w:cs="Times New Roman"/>
          <w:sz w:val="24"/>
          <w:szCs w:val="24"/>
        </w:rPr>
        <w:t xml:space="preserve"> </w:t>
      </w:r>
      <w:r w:rsidR="00462F94">
        <w:rPr>
          <w:rFonts w:ascii="Times New Roman" w:hAnsi="Times New Roman" w:cs="Times New Roman"/>
          <w:sz w:val="24"/>
          <w:szCs w:val="24"/>
        </w:rPr>
        <w:t xml:space="preserve">Business Cycles, </w:t>
      </w:r>
      <w:r>
        <w:rPr>
          <w:rFonts w:ascii="Times New Roman" w:hAnsi="Times New Roman" w:cs="Times New Roman"/>
          <w:sz w:val="24"/>
          <w:szCs w:val="24"/>
        </w:rPr>
        <w:t xml:space="preserve">Ordered </w:t>
      </w:r>
      <w:proofErr w:type="spellStart"/>
      <w:r>
        <w:rPr>
          <w:rFonts w:ascii="Times New Roman" w:hAnsi="Times New Roman" w:cs="Times New Roman"/>
          <w:sz w:val="24"/>
          <w:szCs w:val="24"/>
        </w:rPr>
        <w:t>Probit</w:t>
      </w:r>
      <w:proofErr w:type="spellEnd"/>
      <w:r w:rsidRPr="00FD0949">
        <w:rPr>
          <w:rFonts w:ascii="Times New Roman" w:hAnsi="Times New Roman" w:cs="Times New Roman"/>
          <w:sz w:val="24"/>
          <w:szCs w:val="24"/>
        </w:rPr>
        <w:t>,</w:t>
      </w:r>
      <w:r>
        <w:rPr>
          <w:rFonts w:ascii="Times New Roman" w:hAnsi="Times New Roman" w:cs="Times New Roman"/>
          <w:sz w:val="24"/>
          <w:szCs w:val="24"/>
        </w:rPr>
        <w:t xml:space="preserve"> Rating changes, Rating agencies,</w:t>
      </w:r>
      <w:r w:rsidRPr="00FD0949">
        <w:rPr>
          <w:rFonts w:ascii="Times New Roman" w:hAnsi="Times New Roman" w:cs="Times New Roman"/>
          <w:sz w:val="24"/>
          <w:szCs w:val="24"/>
        </w:rPr>
        <w:t xml:space="preserve"> Watchlist</w:t>
      </w:r>
      <w:r>
        <w:rPr>
          <w:rFonts w:ascii="Times New Roman" w:hAnsi="Times New Roman" w:cs="Times New Roman"/>
          <w:sz w:val="24"/>
          <w:szCs w:val="24"/>
        </w:rPr>
        <w:t>, Outlook</w:t>
      </w:r>
      <w:r w:rsidR="00462F94">
        <w:rPr>
          <w:rFonts w:ascii="Times New Roman" w:hAnsi="Times New Roman" w:cs="Times New Roman"/>
          <w:sz w:val="24"/>
          <w:szCs w:val="24"/>
        </w:rPr>
        <w:t>, Crises</w:t>
      </w:r>
      <w:r>
        <w:rPr>
          <w:rFonts w:ascii="Times New Roman" w:hAnsi="Times New Roman" w:cs="Times New Roman"/>
          <w:sz w:val="24"/>
          <w:szCs w:val="24"/>
        </w:rPr>
        <w:t>.</w:t>
      </w:r>
    </w:p>
    <w:p w14:paraId="129CA817" w14:textId="1EE93986" w:rsidR="00C01217" w:rsidRDefault="00C01217" w:rsidP="00242AE1">
      <w:pPr>
        <w:spacing w:line="360" w:lineRule="auto"/>
        <w:contextualSpacing/>
        <w:jc w:val="both"/>
        <w:rPr>
          <w:rFonts w:ascii="Times New Roman" w:hAnsi="Times New Roman" w:cs="Times New Roman"/>
          <w:sz w:val="24"/>
          <w:szCs w:val="24"/>
        </w:rPr>
      </w:pPr>
    </w:p>
    <w:p w14:paraId="745081DF" w14:textId="55272243" w:rsidR="00C01217" w:rsidRPr="00462F94" w:rsidRDefault="00C01217" w:rsidP="00242AE1">
      <w:pPr>
        <w:pStyle w:val="ListParagraph"/>
        <w:numPr>
          <w:ilvl w:val="0"/>
          <w:numId w:val="1"/>
        </w:numPr>
        <w:spacing w:line="360" w:lineRule="auto"/>
        <w:jc w:val="both"/>
        <w:rPr>
          <w:rFonts w:ascii="Times New Roman" w:hAnsi="Times New Roman" w:cs="Times New Roman"/>
          <w:sz w:val="24"/>
          <w:szCs w:val="24"/>
        </w:rPr>
      </w:pPr>
      <w:r w:rsidRPr="00462F94">
        <w:rPr>
          <w:rFonts w:ascii="Times New Roman" w:hAnsi="Times New Roman" w:cs="Times New Roman"/>
          <w:sz w:val="24"/>
          <w:szCs w:val="24"/>
        </w:rPr>
        <w:t>Introduction</w:t>
      </w:r>
      <w:r w:rsidR="00242AE1">
        <w:rPr>
          <w:rFonts w:ascii="Times New Roman" w:hAnsi="Times New Roman" w:cs="Times New Roman"/>
          <w:sz w:val="24"/>
          <w:szCs w:val="24"/>
        </w:rPr>
        <w:t xml:space="preserve"> </w:t>
      </w:r>
    </w:p>
    <w:p w14:paraId="00DC1D98" w14:textId="4BD471B3" w:rsidR="00242AE1" w:rsidRDefault="00462F94" w:rsidP="00242AE1">
      <w:pPr>
        <w:spacing w:line="360" w:lineRule="auto"/>
        <w:contextualSpacing/>
        <w:jc w:val="both"/>
        <w:rPr>
          <w:rFonts w:ascii="Times New Roman" w:hAnsi="Times New Roman" w:cs="Times New Roman"/>
          <w:sz w:val="24"/>
          <w:szCs w:val="24"/>
        </w:rPr>
      </w:pPr>
      <w:r w:rsidRPr="00462F94">
        <w:rPr>
          <w:rFonts w:ascii="Times New Roman" w:hAnsi="Times New Roman" w:cs="Times New Roman"/>
          <w:sz w:val="24"/>
          <w:szCs w:val="24"/>
        </w:rPr>
        <w:t xml:space="preserve">Credit ratings are used to reduce the information gap between investors and borrowers (Duff and </w:t>
      </w:r>
      <w:proofErr w:type="spellStart"/>
      <w:r w:rsidRPr="00462F94">
        <w:rPr>
          <w:rFonts w:ascii="Times New Roman" w:hAnsi="Times New Roman" w:cs="Times New Roman"/>
          <w:sz w:val="24"/>
          <w:szCs w:val="24"/>
        </w:rPr>
        <w:t>Einig</w:t>
      </w:r>
      <w:proofErr w:type="spellEnd"/>
      <w:r w:rsidRPr="00462F94">
        <w:rPr>
          <w:rFonts w:ascii="Times New Roman" w:hAnsi="Times New Roman" w:cs="Times New Roman"/>
          <w:sz w:val="24"/>
          <w:szCs w:val="24"/>
        </w:rPr>
        <w:t>, 2009) and have been a significant area of interest to investors, regulators, and other market participants over the last</w:t>
      </w:r>
      <w:r w:rsidR="00242AE1">
        <w:rPr>
          <w:rFonts w:ascii="Times New Roman" w:hAnsi="Times New Roman" w:cs="Times New Roman"/>
          <w:sz w:val="24"/>
          <w:szCs w:val="24"/>
        </w:rPr>
        <w:t xml:space="preserve"> two</w:t>
      </w:r>
      <w:r w:rsidRPr="00462F94">
        <w:rPr>
          <w:rFonts w:ascii="Times New Roman" w:hAnsi="Times New Roman" w:cs="Times New Roman"/>
          <w:sz w:val="24"/>
          <w:szCs w:val="24"/>
        </w:rPr>
        <w:t xml:space="preserve"> decade</w:t>
      </w:r>
      <w:r w:rsidR="00242AE1">
        <w:rPr>
          <w:rFonts w:ascii="Times New Roman" w:hAnsi="Times New Roman" w:cs="Times New Roman"/>
          <w:sz w:val="24"/>
          <w:szCs w:val="24"/>
        </w:rPr>
        <w:t>s</w:t>
      </w:r>
      <w:r w:rsidRPr="00462F94">
        <w:rPr>
          <w:rFonts w:ascii="Times New Roman" w:hAnsi="Times New Roman" w:cs="Times New Roman"/>
          <w:sz w:val="24"/>
          <w:szCs w:val="24"/>
        </w:rPr>
        <w:t>. Numerous studies have shown that assigned</w:t>
      </w:r>
      <w:r w:rsidR="00242AE1">
        <w:rPr>
          <w:rFonts w:ascii="Times New Roman" w:hAnsi="Times New Roman" w:cs="Times New Roman"/>
          <w:sz w:val="24"/>
          <w:szCs w:val="24"/>
        </w:rPr>
        <w:t xml:space="preserve"> </w:t>
      </w:r>
      <w:r w:rsidR="00242AE1" w:rsidRPr="00462F94">
        <w:rPr>
          <w:rFonts w:ascii="Times New Roman" w:hAnsi="Times New Roman" w:cs="Times New Roman"/>
          <w:sz w:val="24"/>
          <w:szCs w:val="24"/>
        </w:rPr>
        <w:t>ratings</w:t>
      </w:r>
      <w:r w:rsidRPr="00462F94">
        <w:rPr>
          <w:rFonts w:ascii="Times New Roman" w:hAnsi="Times New Roman" w:cs="Times New Roman"/>
          <w:sz w:val="24"/>
          <w:szCs w:val="24"/>
        </w:rPr>
        <w:t xml:space="preserve"> and rating changes have a significant impact on the pricing of risk and the </w:t>
      </w:r>
      <w:r w:rsidR="00242AE1">
        <w:rPr>
          <w:rFonts w:ascii="Times New Roman" w:hAnsi="Times New Roman" w:cs="Times New Roman"/>
          <w:sz w:val="24"/>
          <w:szCs w:val="24"/>
        </w:rPr>
        <w:t>rate</w:t>
      </w:r>
      <w:r w:rsidRPr="00462F94">
        <w:rPr>
          <w:rFonts w:ascii="Times New Roman" w:hAnsi="Times New Roman" w:cs="Times New Roman"/>
          <w:sz w:val="24"/>
          <w:szCs w:val="24"/>
        </w:rPr>
        <w:t xml:space="preserve"> of return for fixed income instruments (Livingston </w:t>
      </w:r>
      <w:r w:rsidRPr="00462F94">
        <w:rPr>
          <w:rFonts w:ascii="Times New Roman" w:hAnsi="Times New Roman" w:cs="Times New Roman"/>
          <w:i/>
          <w:sz w:val="24"/>
          <w:szCs w:val="24"/>
        </w:rPr>
        <w:t>et al</w:t>
      </w:r>
      <w:r w:rsidRPr="00462F94">
        <w:rPr>
          <w:rFonts w:ascii="Times New Roman" w:hAnsi="Times New Roman" w:cs="Times New Roman"/>
          <w:sz w:val="24"/>
          <w:szCs w:val="24"/>
        </w:rPr>
        <w:t>, 2008). There are seven major international credit rating agencies</w:t>
      </w:r>
      <w:r w:rsidR="005159BE">
        <w:rPr>
          <w:rFonts w:ascii="Times New Roman" w:hAnsi="Times New Roman" w:cs="Times New Roman"/>
          <w:sz w:val="24"/>
          <w:szCs w:val="24"/>
        </w:rPr>
        <w:t xml:space="preserve"> (CRAs)</w:t>
      </w:r>
      <w:r w:rsidRPr="00462F94">
        <w:rPr>
          <w:rFonts w:ascii="Times New Roman" w:hAnsi="Times New Roman" w:cs="Times New Roman"/>
          <w:sz w:val="24"/>
          <w:szCs w:val="24"/>
        </w:rPr>
        <w:t xml:space="preserve"> within the industry</w:t>
      </w:r>
      <w:r w:rsidR="00FD1D16">
        <w:rPr>
          <w:rFonts w:ascii="Times New Roman" w:hAnsi="Times New Roman" w:cs="Times New Roman"/>
          <w:sz w:val="24"/>
          <w:szCs w:val="24"/>
        </w:rPr>
        <w:t xml:space="preserve">, </w:t>
      </w:r>
      <w:r w:rsidR="00242AE1">
        <w:rPr>
          <w:rFonts w:ascii="Times New Roman" w:hAnsi="Times New Roman" w:cs="Times New Roman"/>
          <w:sz w:val="24"/>
          <w:szCs w:val="24"/>
        </w:rPr>
        <w:t>the main two account</w:t>
      </w:r>
      <w:r w:rsidR="00FD1D16">
        <w:rPr>
          <w:rFonts w:ascii="Times New Roman" w:hAnsi="Times New Roman" w:cs="Times New Roman"/>
          <w:sz w:val="24"/>
          <w:szCs w:val="24"/>
        </w:rPr>
        <w:t>ing</w:t>
      </w:r>
      <w:r w:rsidR="00242AE1">
        <w:rPr>
          <w:rFonts w:ascii="Times New Roman" w:hAnsi="Times New Roman" w:cs="Times New Roman"/>
          <w:sz w:val="24"/>
          <w:szCs w:val="24"/>
        </w:rPr>
        <w:t xml:space="preserve"> for 80% of the market are</w:t>
      </w:r>
      <w:r w:rsidRPr="00462F94">
        <w:rPr>
          <w:rFonts w:ascii="Times New Roman" w:hAnsi="Times New Roman" w:cs="Times New Roman"/>
          <w:sz w:val="24"/>
          <w:szCs w:val="24"/>
        </w:rPr>
        <w:t xml:space="preserve"> Moody’s Investors Service, Standard and Poor’s (S&amp;P)</w:t>
      </w:r>
      <w:r w:rsidR="00FD1D16">
        <w:rPr>
          <w:rFonts w:ascii="Times New Roman" w:hAnsi="Times New Roman" w:cs="Times New Roman"/>
          <w:sz w:val="24"/>
          <w:szCs w:val="24"/>
        </w:rPr>
        <w:t xml:space="preserve"> and Fitch accounting for around 15% of the market. </w:t>
      </w:r>
    </w:p>
    <w:p w14:paraId="5B5344A6" w14:textId="77777777" w:rsidR="00242AE1" w:rsidRDefault="00242AE1" w:rsidP="00242AE1">
      <w:pPr>
        <w:spacing w:line="360" w:lineRule="auto"/>
        <w:contextualSpacing/>
        <w:jc w:val="both"/>
        <w:rPr>
          <w:rFonts w:ascii="Times New Roman" w:hAnsi="Times New Roman" w:cs="Times New Roman"/>
          <w:sz w:val="24"/>
          <w:szCs w:val="24"/>
        </w:rPr>
      </w:pPr>
    </w:p>
    <w:p w14:paraId="08196106" w14:textId="3834BDBE" w:rsidR="00242AE1" w:rsidRDefault="00242AE1" w:rsidP="00242AE1">
      <w:pPr>
        <w:spacing w:line="360" w:lineRule="auto"/>
        <w:contextualSpacing/>
        <w:jc w:val="both"/>
        <w:rPr>
          <w:rFonts w:ascii="Times New Roman" w:hAnsi="Times New Roman" w:cs="Times New Roman"/>
          <w:sz w:val="24"/>
          <w:szCs w:val="24"/>
        </w:rPr>
      </w:pPr>
      <w:r w:rsidRPr="008711DB">
        <w:rPr>
          <w:rFonts w:ascii="Times New Roman" w:hAnsi="Times New Roman" w:cs="Times New Roman"/>
          <w:sz w:val="24"/>
          <w:szCs w:val="24"/>
        </w:rPr>
        <w:t xml:space="preserve">Credit ratings assigned to issuers by agencies are frequently used within the pricing </w:t>
      </w:r>
      <w:r>
        <w:rPr>
          <w:rFonts w:ascii="Times New Roman" w:hAnsi="Times New Roman" w:cs="Times New Roman"/>
          <w:sz w:val="24"/>
          <w:szCs w:val="24"/>
        </w:rPr>
        <w:t>of risk and i</w:t>
      </w:r>
      <w:r w:rsidRPr="008711DB">
        <w:rPr>
          <w:rFonts w:ascii="Times New Roman" w:hAnsi="Times New Roman" w:cs="Times New Roman"/>
          <w:sz w:val="24"/>
          <w:szCs w:val="24"/>
        </w:rPr>
        <w:t xml:space="preserve">nvestors such as market analysts and traders rely on credit ratings and ratings changes to price risk properly. </w:t>
      </w:r>
    </w:p>
    <w:p w14:paraId="55CF55F8" w14:textId="77777777" w:rsidR="00FD1D16" w:rsidRDefault="00FD1D16" w:rsidP="005159BE">
      <w:pPr>
        <w:spacing w:line="360" w:lineRule="auto"/>
        <w:contextualSpacing/>
        <w:jc w:val="both"/>
        <w:rPr>
          <w:rFonts w:ascii="Times New Roman" w:hAnsi="Times New Roman" w:cs="Times New Roman"/>
          <w:sz w:val="24"/>
          <w:szCs w:val="24"/>
        </w:rPr>
      </w:pPr>
    </w:p>
    <w:p w14:paraId="447B2074" w14:textId="418B24C0" w:rsidR="00FD1D16" w:rsidRDefault="000B52E9" w:rsidP="005159BE">
      <w:pPr>
        <w:spacing w:line="360" w:lineRule="auto"/>
        <w:contextualSpacing/>
        <w:jc w:val="both"/>
        <w:rPr>
          <w:rStyle w:val="Strong"/>
          <w:rFonts w:ascii="Times New Roman" w:hAnsi="Times New Roman" w:cs="Times New Roman"/>
          <w:b w:val="0"/>
          <w:bCs w:val="0"/>
          <w:sz w:val="24"/>
          <w:szCs w:val="24"/>
        </w:rPr>
      </w:pPr>
      <w:r w:rsidRPr="004E470C">
        <w:rPr>
          <w:rStyle w:val="Strong"/>
          <w:rFonts w:ascii="Times New Roman" w:hAnsi="Times New Roman" w:cs="Times New Roman"/>
          <w:b w:val="0"/>
          <w:bCs w:val="0"/>
          <w:sz w:val="24"/>
          <w:szCs w:val="24"/>
        </w:rPr>
        <w:t xml:space="preserve">Investors want ratings to reflect changes in credit quality even if they are going to be reversed within a short period of time (Ellis, 1998). However, investors also want some level of ratings stability in order to keep their portfolio rebalancing as low as possible (Altman and </w:t>
      </w:r>
      <w:proofErr w:type="spellStart"/>
      <w:r w:rsidRPr="004E470C">
        <w:rPr>
          <w:rStyle w:val="Strong"/>
          <w:rFonts w:ascii="Times New Roman" w:hAnsi="Times New Roman" w:cs="Times New Roman"/>
          <w:b w:val="0"/>
          <w:bCs w:val="0"/>
          <w:sz w:val="24"/>
          <w:szCs w:val="24"/>
        </w:rPr>
        <w:t>Rijken</w:t>
      </w:r>
      <w:proofErr w:type="spellEnd"/>
      <w:r w:rsidRPr="004E470C">
        <w:rPr>
          <w:rStyle w:val="Strong"/>
          <w:rFonts w:ascii="Times New Roman" w:hAnsi="Times New Roman" w:cs="Times New Roman"/>
          <w:b w:val="0"/>
          <w:bCs w:val="0"/>
          <w:sz w:val="24"/>
          <w:szCs w:val="24"/>
        </w:rPr>
        <w:t>, 2004).</w:t>
      </w:r>
      <w:r w:rsidRPr="00F701C6">
        <w:rPr>
          <w:rStyle w:val="Strong"/>
          <w:rFonts w:ascii="Times New Roman" w:hAnsi="Times New Roman" w:cs="Times New Roman"/>
          <w:sz w:val="24"/>
          <w:szCs w:val="24"/>
        </w:rPr>
        <w:t xml:space="preserve"> </w:t>
      </w:r>
      <w:r w:rsidRPr="00F701C6">
        <w:rPr>
          <w:rFonts w:ascii="Times New Roman" w:hAnsi="Times New Roman" w:cs="Times New Roman"/>
          <w:sz w:val="24"/>
          <w:szCs w:val="24"/>
        </w:rPr>
        <w:t>Cantor and Mann (2007) suggest that if ratings were to adjust frequently such as day to day, asset managers would incur extremely high transaction costs from buying, selling then re-buying the same security.</w:t>
      </w:r>
      <w:r>
        <w:rPr>
          <w:rStyle w:val="Strong"/>
          <w:rFonts w:ascii="Times New Roman" w:hAnsi="Times New Roman" w:cs="Times New Roman"/>
          <w:b w:val="0"/>
          <w:bCs w:val="0"/>
          <w:sz w:val="24"/>
          <w:szCs w:val="24"/>
        </w:rPr>
        <w:t xml:space="preserve"> </w:t>
      </w:r>
    </w:p>
    <w:p w14:paraId="120DAD39" w14:textId="77777777" w:rsidR="003A66EC" w:rsidRDefault="003A66EC" w:rsidP="005159BE">
      <w:pPr>
        <w:spacing w:line="360" w:lineRule="auto"/>
        <w:contextualSpacing/>
        <w:jc w:val="both"/>
        <w:rPr>
          <w:rStyle w:val="Strong"/>
          <w:rFonts w:ascii="Times New Roman" w:hAnsi="Times New Roman" w:cs="Times New Roman"/>
          <w:b w:val="0"/>
          <w:bCs w:val="0"/>
          <w:sz w:val="24"/>
          <w:szCs w:val="24"/>
        </w:rPr>
      </w:pPr>
    </w:p>
    <w:p w14:paraId="2E194B8E" w14:textId="795D9EA0" w:rsidR="0035182F" w:rsidRPr="00FD630F" w:rsidRDefault="0035182F" w:rsidP="0035182F">
      <w:pPr>
        <w:spacing w:line="360" w:lineRule="auto"/>
        <w:contextualSpacing/>
        <w:jc w:val="both"/>
        <w:rPr>
          <w:rFonts w:ascii="Times New Roman" w:hAnsi="Times New Roman" w:cs="Times New Roman"/>
          <w:sz w:val="24"/>
          <w:szCs w:val="24"/>
        </w:rPr>
      </w:pPr>
      <w:r w:rsidRPr="00FD630F">
        <w:rPr>
          <w:rFonts w:ascii="Times New Roman" w:hAnsi="Times New Roman" w:cs="Times New Roman"/>
          <w:sz w:val="24"/>
          <w:szCs w:val="24"/>
        </w:rPr>
        <w:lastRenderedPageBreak/>
        <w:t xml:space="preserve">Standard and Poor’s (2002, cited in Amato and </w:t>
      </w:r>
      <w:proofErr w:type="spellStart"/>
      <w:r w:rsidRPr="00FD630F">
        <w:rPr>
          <w:rFonts w:ascii="Times New Roman" w:hAnsi="Times New Roman" w:cs="Times New Roman"/>
          <w:sz w:val="24"/>
          <w:szCs w:val="24"/>
        </w:rPr>
        <w:t>Furfine</w:t>
      </w:r>
      <w:proofErr w:type="spellEnd"/>
      <w:r w:rsidRPr="00FD630F">
        <w:rPr>
          <w:rFonts w:ascii="Times New Roman" w:hAnsi="Times New Roman" w:cs="Times New Roman"/>
          <w:sz w:val="24"/>
          <w:szCs w:val="24"/>
        </w:rPr>
        <w:t>, 2004) argue that there is no point in raising a firm’s credit rating when they are enjoying a temporary peak, similarly if they are experiencing a period of poor performance</w:t>
      </w:r>
      <w:r w:rsidR="003A66EC" w:rsidRPr="00FD630F">
        <w:rPr>
          <w:rFonts w:ascii="Times New Roman" w:hAnsi="Times New Roman" w:cs="Times New Roman"/>
          <w:sz w:val="24"/>
          <w:szCs w:val="24"/>
        </w:rPr>
        <w:t>,</w:t>
      </w:r>
      <w:r w:rsidRPr="00FD630F">
        <w:rPr>
          <w:rFonts w:ascii="Times New Roman" w:hAnsi="Times New Roman" w:cs="Times New Roman"/>
          <w:sz w:val="24"/>
          <w:szCs w:val="24"/>
        </w:rPr>
        <w:t xml:space="preserve"> they would not decrease the firm’s rating. The </w:t>
      </w:r>
      <w:r w:rsidR="003A66EC" w:rsidRPr="00FD630F">
        <w:rPr>
          <w:rFonts w:ascii="Times New Roman" w:hAnsi="Times New Roman" w:cs="Times New Roman"/>
          <w:sz w:val="24"/>
          <w:szCs w:val="24"/>
        </w:rPr>
        <w:t>CRA</w:t>
      </w:r>
      <w:r w:rsidRPr="00FD630F">
        <w:rPr>
          <w:rFonts w:ascii="Times New Roman" w:hAnsi="Times New Roman" w:cs="Times New Roman"/>
          <w:sz w:val="24"/>
          <w:szCs w:val="24"/>
        </w:rPr>
        <w:t xml:space="preserve"> does not know how long it will last and therefore there must be a delay in the change in rating, to enable the ratings to have stability. According to Moody’s, ratings are changed only when the change in the company’s risk profile is expected to be permanent (Altman and </w:t>
      </w:r>
      <w:proofErr w:type="spellStart"/>
      <w:r w:rsidRPr="00FD630F">
        <w:rPr>
          <w:rFonts w:ascii="Times New Roman" w:hAnsi="Times New Roman" w:cs="Times New Roman"/>
          <w:sz w:val="24"/>
          <w:szCs w:val="24"/>
        </w:rPr>
        <w:t>Rijken</w:t>
      </w:r>
      <w:proofErr w:type="spellEnd"/>
      <w:r w:rsidRPr="00FD630F">
        <w:rPr>
          <w:rFonts w:ascii="Times New Roman" w:hAnsi="Times New Roman" w:cs="Times New Roman"/>
          <w:sz w:val="24"/>
          <w:szCs w:val="24"/>
        </w:rPr>
        <w:t>, 2004), a view also supported by Hamilton and Cantor (2004).</w:t>
      </w:r>
    </w:p>
    <w:p w14:paraId="718331BC" w14:textId="77777777" w:rsidR="0035182F" w:rsidRPr="00FD630F" w:rsidRDefault="0035182F" w:rsidP="0035182F">
      <w:pPr>
        <w:spacing w:line="360" w:lineRule="auto"/>
        <w:contextualSpacing/>
        <w:jc w:val="both"/>
        <w:rPr>
          <w:rFonts w:ascii="Times New Roman" w:hAnsi="Times New Roman" w:cs="Times New Roman"/>
          <w:sz w:val="24"/>
          <w:szCs w:val="24"/>
        </w:rPr>
      </w:pPr>
    </w:p>
    <w:p w14:paraId="78EEB07F" w14:textId="3C04FE0B" w:rsidR="0035182F" w:rsidRPr="00FD630F" w:rsidRDefault="0035182F" w:rsidP="0035182F">
      <w:pPr>
        <w:spacing w:line="360" w:lineRule="auto"/>
        <w:contextualSpacing/>
        <w:jc w:val="both"/>
        <w:rPr>
          <w:rFonts w:ascii="Times New Roman" w:hAnsi="Times New Roman" w:cs="Times New Roman"/>
          <w:sz w:val="24"/>
          <w:szCs w:val="24"/>
        </w:rPr>
      </w:pPr>
      <w:r w:rsidRPr="00FD630F">
        <w:rPr>
          <w:rFonts w:ascii="Times New Roman" w:hAnsi="Times New Roman" w:cs="Times New Roman"/>
          <w:sz w:val="24"/>
          <w:szCs w:val="24"/>
        </w:rPr>
        <w:t xml:space="preserve">Altman and </w:t>
      </w:r>
      <w:proofErr w:type="spellStart"/>
      <w:r w:rsidRPr="00FD630F">
        <w:rPr>
          <w:rFonts w:ascii="Times New Roman" w:hAnsi="Times New Roman" w:cs="Times New Roman"/>
          <w:sz w:val="24"/>
          <w:szCs w:val="24"/>
        </w:rPr>
        <w:t>Rijken</w:t>
      </w:r>
      <w:proofErr w:type="spellEnd"/>
      <w:r w:rsidRPr="00FD630F">
        <w:rPr>
          <w:rFonts w:ascii="Times New Roman" w:hAnsi="Times New Roman" w:cs="Times New Roman"/>
          <w:sz w:val="24"/>
          <w:szCs w:val="24"/>
        </w:rPr>
        <w:t xml:space="preserve"> (2005) state that </w:t>
      </w:r>
      <w:r w:rsidR="003A66EC" w:rsidRPr="00FD630F">
        <w:rPr>
          <w:rFonts w:ascii="Times New Roman" w:hAnsi="Times New Roman" w:cs="Times New Roman"/>
          <w:sz w:val="24"/>
          <w:szCs w:val="24"/>
        </w:rPr>
        <w:t>CRAs</w:t>
      </w:r>
      <w:r w:rsidRPr="00FD630F">
        <w:rPr>
          <w:rFonts w:ascii="Times New Roman" w:hAnsi="Times New Roman" w:cs="Times New Roman"/>
          <w:sz w:val="24"/>
          <w:szCs w:val="24"/>
        </w:rPr>
        <w:t xml:space="preserve"> apply through-the-cycle methodology whereas, investors have a point-in-time perception of credit worthiness. Watchlist and outlook provide additional information to investors to try and resolve this difference in opinion, regarding an issuer’s credit rating and inform them of the possible future direction of their credit rating. Rating outlooks and watchlist have been introduced to signal an imbalance in an entity’s risk but a rating change is not certain (Alsakka and ap Gwilym, 2012). Once this imbalance is resolved an issuer’s rating is either confirmed or changed (Hamilton and Cantor, 2004).</w:t>
      </w:r>
    </w:p>
    <w:p w14:paraId="77F5E621" w14:textId="2692BB59" w:rsidR="0035182F" w:rsidRDefault="0035182F" w:rsidP="0035182F">
      <w:pPr>
        <w:spacing w:line="360" w:lineRule="auto"/>
        <w:contextualSpacing/>
        <w:rPr>
          <w:rFonts w:ascii="Times New Roman" w:hAnsi="Times New Roman" w:cs="Times New Roman"/>
          <w:sz w:val="24"/>
          <w:szCs w:val="24"/>
          <w:highlight w:val="yellow"/>
        </w:rPr>
      </w:pPr>
    </w:p>
    <w:p w14:paraId="3261014B" w14:textId="0483A281" w:rsidR="006D11D6" w:rsidRPr="00E86941" w:rsidRDefault="00051FE5" w:rsidP="006D11D6">
      <w:pPr>
        <w:spacing w:line="360" w:lineRule="auto"/>
        <w:contextualSpacing/>
        <w:rPr>
          <w:rFonts w:ascii="Times New Roman" w:hAnsi="Times New Roman" w:cs="Times New Roman"/>
          <w:sz w:val="24"/>
          <w:szCs w:val="24"/>
        </w:rPr>
      </w:pPr>
      <w:r>
        <w:rPr>
          <w:rFonts w:ascii="Times New Roman" w:hAnsi="Times New Roman" w:cs="Times New Roman"/>
          <w:sz w:val="24"/>
          <w:szCs w:val="24"/>
        </w:rPr>
        <w:t>Due to the difficulties and costs involved</w:t>
      </w:r>
      <w:r w:rsidR="003A66EC" w:rsidRPr="008711DB">
        <w:rPr>
          <w:rFonts w:ascii="Times New Roman" w:hAnsi="Times New Roman" w:cs="Times New Roman"/>
          <w:sz w:val="24"/>
          <w:szCs w:val="24"/>
        </w:rPr>
        <w:t xml:space="preserve"> for </w:t>
      </w:r>
      <w:r w:rsidR="003A66EC">
        <w:rPr>
          <w:rFonts w:ascii="Times New Roman" w:hAnsi="Times New Roman" w:cs="Times New Roman"/>
          <w:sz w:val="24"/>
          <w:szCs w:val="24"/>
        </w:rPr>
        <w:t>CRAs</w:t>
      </w:r>
      <w:r w:rsidR="003A66EC" w:rsidRPr="008711DB">
        <w:rPr>
          <w:rFonts w:ascii="Times New Roman" w:hAnsi="Times New Roman" w:cs="Times New Roman"/>
          <w:sz w:val="24"/>
          <w:szCs w:val="24"/>
        </w:rPr>
        <w:t xml:space="preserve"> to change an assigned rating for an issuer, especially in opaque industries such as the banking sector (Morgan, 2002)</w:t>
      </w:r>
      <w:r w:rsidR="006D11D6">
        <w:rPr>
          <w:rFonts w:ascii="Times New Roman" w:hAnsi="Times New Roman" w:cs="Times New Roman"/>
          <w:sz w:val="24"/>
          <w:szCs w:val="24"/>
        </w:rPr>
        <w:t xml:space="preserve"> a lead- lag analysis is necessary to </w:t>
      </w:r>
      <w:r w:rsidR="0035182F" w:rsidRPr="00E86941">
        <w:rPr>
          <w:rFonts w:ascii="Times New Roman" w:eastAsia="Calibri" w:hAnsi="Times New Roman" w:cs="Times New Roman"/>
          <w:sz w:val="24"/>
          <w:szCs w:val="24"/>
        </w:rPr>
        <w:t xml:space="preserve">investigate whether any </w:t>
      </w:r>
      <w:r w:rsidR="00E86941">
        <w:rPr>
          <w:rFonts w:ascii="Times New Roman" w:eastAsia="Calibri" w:hAnsi="Times New Roman" w:cs="Times New Roman"/>
          <w:sz w:val="24"/>
          <w:szCs w:val="24"/>
        </w:rPr>
        <w:t>CRA</w:t>
      </w:r>
      <w:r w:rsidR="0035182F" w:rsidRPr="00E86941">
        <w:rPr>
          <w:rFonts w:ascii="Times New Roman" w:eastAsia="Calibri" w:hAnsi="Times New Roman" w:cs="Times New Roman"/>
          <w:sz w:val="24"/>
          <w:szCs w:val="24"/>
        </w:rPr>
        <w:t xml:space="preserve"> demonstrates a lead or a lag, or one </w:t>
      </w:r>
      <w:r w:rsidR="00E86941">
        <w:rPr>
          <w:rFonts w:ascii="Times New Roman" w:eastAsia="Calibri" w:hAnsi="Times New Roman" w:cs="Times New Roman"/>
          <w:sz w:val="24"/>
          <w:szCs w:val="24"/>
        </w:rPr>
        <w:t>CRA</w:t>
      </w:r>
      <w:r w:rsidR="0035182F" w:rsidRPr="00E86941">
        <w:rPr>
          <w:rFonts w:ascii="Times New Roman" w:eastAsia="Calibri" w:hAnsi="Times New Roman" w:cs="Times New Roman"/>
          <w:sz w:val="24"/>
          <w:szCs w:val="24"/>
        </w:rPr>
        <w:t xml:space="preserve"> influences anoth</w:t>
      </w:r>
      <w:r w:rsidR="0035182F" w:rsidRPr="00E86941">
        <w:rPr>
          <w:rFonts w:ascii="Times New Roman" w:hAnsi="Times New Roman" w:cs="Times New Roman"/>
          <w:sz w:val="24"/>
          <w:szCs w:val="24"/>
        </w:rPr>
        <w:t xml:space="preserve">er, when conducting credit rating actions. </w:t>
      </w:r>
    </w:p>
    <w:p w14:paraId="71F8D7F6" w14:textId="77777777" w:rsidR="006D11D6" w:rsidRDefault="006D11D6" w:rsidP="006D11D6">
      <w:pPr>
        <w:spacing w:line="360" w:lineRule="auto"/>
        <w:contextualSpacing/>
        <w:rPr>
          <w:rFonts w:ascii="Times New Roman" w:hAnsi="Times New Roman" w:cs="Times New Roman"/>
          <w:sz w:val="24"/>
          <w:szCs w:val="24"/>
          <w:highlight w:val="yellow"/>
        </w:rPr>
      </w:pPr>
    </w:p>
    <w:p w14:paraId="2F8A72B4" w14:textId="3CDC63EB" w:rsidR="0035182F" w:rsidRPr="00F701C6" w:rsidRDefault="0035182F" w:rsidP="006D11D6">
      <w:pPr>
        <w:spacing w:line="360" w:lineRule="auto"/>
        <w:contextualSpacing/>
        <w:rPr>
          <w:rFonts w:ascii="Times New Roman" w:hAnsi="Times New Roman" w:cs="Times New Roman"/>
          <w:sz w:val="24"/>
          <w:szCs w:val="24"/>
        </w:rPr>
      </w:pPr>
      <w:r w:rsidRPr="00A34B17">
        <w:rPr>
          <w:rFonts w:ascii="Times New Roman" w:hAnsi="Times New Roman" w:cs="Times New Roman"/>
          <w:sz w:val="24"/>
          <w:szCs w:val="24"/>
        </w:rPr>
        <w:t xml:space="preserve">Alsakka and ap Gwilym (2010) found that the probability of an upgrade (downgrade) by one </w:t>
      </w:r>
      <w:r w:rsidR="00A34B17" w:rsidRPr="00A34B17">
        <w:rPr>
          <w:rFonts w:ascii="Times New Roman" w:hAnsi="Times New Roman" w:cs="Times New Roman"/>
          <w:sz w:val="24"/>
          <w:szCs w:val="24"/>
        </w:rPr>
        <w:t>CRA</w:t>
      </w:r>
      <w:r w:rsidRPr="00A34B17">
        <w:rPr>
          <w:rFonts w:ascii="Times New Roman" w:hAnsi="Times New Roman" w:cs="Times New Roman"/>
          <w:sz w:val="24"/>
          <w:szCs w:val="24"/>
        </w:rPr>
        <w:t xml:space="preserve"> is much higher for a sovereign issuer that has recently been upgraded by another </w:t>
      </w:r>
      <w:r w:rsidR="00A34B17" w:rsidRPr="00A34B17">
        <w:rPr>
          <w:rFonts w:ascii="Times New Roman" w:hAnsi="Times New Roman" w:cs="Times New Roman"/>
          <w:sz w:val="24"/>
          <w:szCs w:val="24"/>
        </w:rPr>
        <w:t>CRA</w:t>
      </w:r>
      <w:r w:rsidRPr="00A34B17">
        <w:rPr>
          <w:rFonts w:ascii="Times New Roman" w:hAnsi="Times New Roman" w:cs="Times New Roman"/>
          <w:sz w:val="24"/>
          <w:szCs w:val="24"/>
        </w:rPr>
        <w:t xml:space="preserve">. They also found that none of the three larger </w:t>
      </w:r>
      <w:r w:rsidR="00A34B17" w:rsidRPr="00A34B17">
        <w:rPr>
          <w:rFonts w:ascii="Times New Roman" w:hAnsi="Times New Roman" w:cs="Times New Roman"/>
          <w:sz w:val="24"/>
          <w:szCs w:val="24"/>
        </w:rPr>
        <w:t>CRAs</w:t>
      </w:r>
      <w:r w:rsidRPr="00A34B17">
        <w:rPr>
          <w:rFonts w:ascii="Times New Roman" w:hAnsi="Times New Roman" w:cs="Times New Roman"/>
          <w:sz w:val="24"/>
          <w:szCs w:val="24"/>
        </w:rPr>
        <w:t xml:space="preserve"> lead another, although Moody’s does tend to lead upgrade actions amongst the three (Alsakka and ap Gwilym, 2010). </w:t>
      </w:r>
    </w:p>
    <w:p w14:paraId="7B7CFFBB" w14:textId="2728EFA4" w:rsidR="005159BE" w:rsidRPr="0035182F" w:rsidRDefault="005159BE" w:rsidP="00242AE1">
      <w:pPr>
        <w:spacing w:line="360" w:lineRule="auto"/>
        <w:contextualSpacing/>
        <w:jc w:val="both"/>
        <w:rPr>
          <w:rFonts w:ascii="Times New Roman" w:hAnsi="Times New Roman" w:cs="Times New Roman"/>
          <w:sz w:val="24"/>
          <w:szCs w:val="24"/>
          <w:highlight w:val="yellow"/>
        </w:rPr>
      </w:pPr>
    </w:p>
    <w:p w14:paraId="4DD1ACC5" w14:textId="49847BF0" w:rsidR="0035182F" w:rsidRPr="00714111" w:rsidRDefault="0035182F" w:rsidP="0035182F">
      <w:pPr>
        <w:autoSpaceDE w:val="0"/>
        <w:autoSpaceDN w:val="0"/>
        <w:adjustRightInd w:val="0"/>
        <w:spacing w:after="0" w:line="360" w:lineRule="auto"/>
        <w:contextualSpacing/>
        <w:jc w:val="both"/>
        <w:rPr>
          <w:rFonts w:ascii="Times New Roman" w:hAnsi="Times New Roman" w:cs="Times New Roman"/>
          <w:sz w:val="24"/>
          <w:szCs w:val="24"/>
        </w:rPr>
      </w:pPr>
      <w:r w:rsidRPr="00A34B17">
        <w:rPr>
          <w:rStyle w:val="Emphasis"/>
          <w:rFonts w:ascii="Times New Roman" w:hAnsi="Times New Roman" w:cs="Times New Roman"/>
          <w:i w:val="0"/>
          <w:iCs w:val="0"/>
          <w:sz w:val="24"/>
          <w:szCs w:val="24"/>
        </w:rPr>
        <w:t xml:space="preserve">This paper contributes to literature by examining which </w:t>
      </w:r>
      <w:r w:rsidR="00A34B17" w:rsidRPr="00A34B17">
        <w:rPr>
          <w:rStyle w:val="Emphasis"/>
          <w:rFonts w:ascii="Times New Roman" w:hAnsi="Times New Roman" w:cs="Times New Roman"/>
          <w:i w:val="0"/>
          <w:iCs w:val="0"/>
          <w:sz w:val="24"/>
          <w:szCs w:val="24"/>
        </w:rPr>
        <w:t>CRA</w:t>
      </w:r>
      <w:r w:rsidRPr="00A34B17">
        <w:rPr>
          <w:rStyle w:val="Emphasis"/>
          <w:rFonts w:ascii="Times New Roman" w:hAnsi="Times New Roman" w:cs="Times New Roman"/>
          <w:i w:val="0"/>
          <w:iCs w:val="0"/>
          <w:sz w:val="24"/>
          <w:szCs w:val="24"/>
        </w:rPr>
        <w:t xml:space="preserve"> reacts more quickly when new information arrives which is relevant to a bank’s creditworthiness and do they react by announcing a watchlist</w:t>
      </w:r>
      <w:r w:rsidR="00FD1D16" w:rsidRPr="00A34B17">
        <w:rPr>
          <w:rStyle w:val="Emphasis"/>
          <w:rFonts w:ascii="Times New Roman" w:hAnsi="Times New Roman" w:cs="Times New Roman"/>
          <w:i w:val="0"/>
          <w:iCs w:val="0"/>
          <w:sz w:val="24"/>
          <w:szCs w:val="24"/>
        </w:rPr>
        <w:t>, outlook</w:t>
      </w:r>
      <w:r w:rsidRPr="00A34B17">
        <w:rPr>
          <w:rStyle w:val="Emphasis"/>
          <w:rFonts w:ascii="Times New Roman" w:hAnsi="Times New Roman" w:cs="Times New Roman"/>
          <w:i w:val="0"/>
          <w:iCs w:val="0"/>
          <w:sz w:val="24"/>
          <w:szCs w:val="24"/>
        </w:rPr>
        <w:t xml:space="preserve"> or a rating action. Similarly, does one </w:t>
      </w:r>
      <w:r w:rsidR="00A34B17" w:rsidRPr="00A34B17">
        <w:rPr>
          <w:rStyle w:val="Emphasis"/>
          <w:rFonts w:ascii="Times New Roman" w:hAnsi="Times New Roman" w:cs="Times New Roman"/>
          <w:i w:val="0"/>
          <w:iCs w:val="0"/>
          <w:sz w:val="24"/>
          <w:szCs w:val="24"/>
        </w:rPr>
        <w:t>CRA</w:t>
      </w:r>
      <w:r w:rsidRPr="00A34B17">
        <w:rPr>
          <w:rStyle w:val="Emphasis"/>
          <w:rFonts w:ascii="Times New Roman" w:hAnsi="Times New Roman" w:cs="Times New Roman"/>
          <w:i w:val="0"/>
          <w:iCs w:val="0"/>
          <w:sz w:val="24"/>
          <w:szCs w:val="24"/>
        </w:rPr>
        <w:t xml:space="preserve"> lead or lag in the area of watchlist,</w:t>
      </w:r>
      <w:r w:rsidR="003A66EC" w:rsidRPr="00A34B17">
        <w:rPr>
          <w:rStyle w:val="Emphasis"/>
          <w:rFonts w:ascii="Times New Roman" w:hAnsi="Times New Roman" w:cs="Times New Roman"/>
          <w:i w:val="0"/>
          <w:iCs w:val="0"/>
          <w:sz w:val="24"/>
          <w:szCs w:val="24"/>
        </w:rPr>
        <w:t xml:space="preserve"> outlook,</w:t>
      </w:r>
      <w:r w:rsidRPr="00A34B17">
        <w:rPr>
          <w:rStyle w:val="Emphasis"/>
          <w:rFonts w:ascii="Times New Roman" w:hAnsi="Times New Roman" w:cs="Times New Roman"/>
          <w:i w:val="0"/>
          <w:iCs w:val="0"/>
          <w:sz w:val="24"/>
          <w:szCs w:val="24"/>
        </w:rPr>
        <w:t xml:space="preserve"> rating announcement or </w:t>
      </w:r>
      <w:r w:rsidR="003A66EC" w:rsidRPr="00A34B17">
        <w:rPr>
          <w:rStyle w:val="Emphasis"/>
          <w:rFonts w:ascii="Times New Roman" w:hAnsi="Times New Roman" w:cs="Times New Roman"/>
          <w:i w:val="0"/>
          <w:iCs w:val="0"/>
          <w:sz w:val="24"/>
          <w:szCs w:val="24"/>
        </w:rPr>
        <w:t>all three</w:t>
      </w:r>
      <w:r w:rsidRPr="00A34B17">
        <w:rPr>
          <w:rStyle w:val="Emphasis"/>
          <w:rFonts w:ascii="Times New Roman" w:hAnsi="Times New Roman" w:cs="Times New Roman"/>
          <w:i w:val="0"/>
          <w:iCs w:val="0"/>
          <w:sz w:val="24"/>
          <w:szCs w:val="24"/>
        </w:rPr>
        <w:t>.</w:t>
      </w:r>
      <w:r w:rsidRPr="00A34B17">
        <w:rPr>
          <w:rFonts w:ascii="Times New Roman" w:hAnsi="Times New Roman" w:cs="Times New Roman"/>
          <w:sz w:val="24"/>
          <w:szCs w:val="24"/>
        </w:rPr>
        <w:t xml:space="preserve"> </w:t>
      </w:r>
    </w:p>
    <w:p w14:paraId="04DCE271" w14:textId="51814D1D" w:rsidR="00462F94" w:rsidRDefault="00462F94" w:rsidP="00242AE1">
      <w:pPr>
        <w:spacing w:line="360" w:lineRule="auto"/>
        <w:contextualSpacing/>
        <w:jc w:val="both"/>
        <w:rPr>
          <w:rFonts w:ascii="Times New Roman" w:hAnsi="Times New Roman" w:cs="Times New Roman"/>
          <w:sz w:val="24"/>
          <w:szCs w:val="24"/>
        </w:rPr>
      </w:pPr>
    </w:p>
    <w:p w14:paraId="55918652" w14:textId="77777777" w:rsidR="00A34B17" w:rsidRPr="00462F94" w:rsidRDefault="00A34B17" w:rsidP="00242AE1">
      <w:pPr>
        <w:spacing w:line="360" w:lineRule="auto"/>
        <w:contextualSpacing/>
        <w:jc w:val="both"/>
        <w:rPr>
          <w:rFonts w:ascii="Times New Roman" w:hAnsi="Times New Roman" w:cs="Times New Roman"/>
          <w:sz w:val="24"/>
          <w:szCs w:val="24"/>
        </w:rPr>
      </w:pPr>
    </w:p>
    <w:p w14:paraId="41CEF35A" w14:textId="3B5A8E2D" w:rsidR="00C01217" w:rsidRDefault="00C01217" w:rsidP="00242AE1">
      <w:pPr>
        <w:spacing w:line="360" w:lineRule="auto"/>
        <w:contextualSpacing/>
        <w:jc w:val="both"/>
        <w:rPr>
          <w:rFonts w:ascii="Times New Roman" w:hAnsi="Times New Roman" w:cs="Times New Roman"/>
          <w:sz w:val="24"/>
          <w:szCs w:val="24"/>
        </w:rPr>
      </w:pPr>
    </w:p>
    <w:p w14:paraId="1C0D1CF5" w14:textId="27C85AE3" w:rsidR="00C01217" w:rsidRPr="00462F94" w:rsidRDefault="00C01217" w:rsidP="00242AE1">
      <w:pPr>
        <w:pStyle w:val="ListParagraph"/>
        <w:numPr>
          <w:ilvl w:val="0"/>
          <w:numId w:val="1"/>
        </w:numPr>
        <w:spacing w:line="360" w:lineRule="auto"/>
        <w:jc w:val="both"/>
        <w:rPr>
          <w:rFonts w:ascii="Times New Roman" w:hAnsi="Times New Roman" w:cs="Times New Roman"/>
          <w:sz w:val="24"/>
          <w:szCs w:val="24"/>
        </w:rPr>
      </w:pPr>
      <w:r w:rsidRPr="00462F94">
        <w:rPr>
          <w:rFonts w:ascii="Times New Roman" w:hAnsi="Times New Roman" w:cs="Times New Roman"/>
          <w:sz w:val="24"/>
          <w:szCs w:val="24"/>
        </w:rPr>
        <w:lastRenderedPageBreak/>
        <w:t xml:space="preserve">Methodology </w:t>
      </w:r>
    </w:p>
    <w:p w14:paraId="736F41F3" w14:textId="77777777" w:rsidR="00721AD6" w:rsidRDefault="00C01217" w:rsidP="00242AE1">
      <w:pPr>
        <w:spacing w:line="360" w:lineRule="auto"/>
        <w:contextualSpacing/>
        <w:jc w:val="both"/>
        <w:rPr>
          <w:rFonts w:ascii="Times New Roman" w:hAnsi="Times New Roman" w:cs="Times New Roman"/>
          <w:sz w:val="24"/>
          <w:szCs w:val="24"/>
        </w:rPr>
      </w:pPr>
      <w:r w:rsidRPr="00C01217">
        <w:rPr>
          <w:rStyle w:val="Emphasis"/>
          <w:rFonts w:ascii="Times New Roman" w:hAnsi="Times New Roman" w:cs="Times New Roman"/>
          <w:i w:val="0"/>
          <w:iCs w:val="0"/>
          <w:sz w:val="24"/>
          <w:szCs w:val="24"/>
        </w:rPr>
        <w:t xml:space="preserve">An ordered </w:t>
      </w:r>
      <w:proofErr w:type="spellStart"/>
      <w:r w:rsidRPr="00C01217">
        <w:rPr>
          <w:rStyle w:val="Emphasis"/>
          <w:rFonts w:ascii="Times New Roman" w:hAnsi="Times New Roman" w:cs="Times New Roman"/>
          <w:i w:val="0"/>
          <w:iCs w:val="0"/>
          <w:sz w:val="24"/>
          <w:szCs w:val="24"/>
        </w:rPr>
        <w:t>probit</w:t>
      </w:r>
      <w:proofErr w:type="spellEnd"/>
      <w:r w:rsidRPr="00C01217">
        <w:rPr>
          <w:rStyle w:val="Emphasis"/>
          <w:rFonts w:ascii="Times New Roman" w:hAnsi="Times New Roman" w:cs="Times New Roman"/>
          <w:i w:val="0"/>
          <w:iCs w:val="0"/>
          <w:sz w:val="24"/>
          <w:szCs w:val="24"/>
        </w:rPr>
        <w:t xml:space="preserve"> model w</w:t>
      </w:r>
      <w:r>
        <w:rPr>
          <w:rStyle w:val="Emphasis"/>
          <w:rFonts w:ascii="Times New Roman" w:hAnsi="Times New Roman" w:cs="Times New Roman"/>
          <w:i w:val="0"/>
          <w:iCs w:val="0"/>
          <w:sz w:val="24"/>
          <w:szCs w:val="24"/>
        </w:rPr>
        <w:t>ill be</w:t>
      </w:r>
      <w:r w:rsidRPr="00C01217">
        <w:rPr>
          <w:rStyle w:val="Emphasis"/>
          <w:rFonts w:ascii="Times New Roman" w:hAnsi="Times New Roman" w:cs="Times New Roman"/>
          <w:i w:val="0"/>
          <w:iCs w:val="0"/>
          <w:sz w:val="24"/>
          <w:szCs w:val="24"/>
        </w:rPr>
        <w:t xml:space="preserve"> used to examine</w:t>
      </w:r>
      <w:r w:rsidRPr="00C01217">
        <w:rPr>
          <w:rFonts w:ascii="Times New Roman" w:hAnsi="Times New Roman" w:cs="Times New Roman"/>
          <w:sz w:val="24"/>
          <w:szCs w:val="24"/>
        </w:rPr>
        <w:t xml:space="preserve"> the data (2007-20</w:t>
      </w:r>
      <w:r>
        <w:rPr>
          <w:rFonts w:ascii="Times New Roman" w:hAnsi="Times New Roman" w:cs="Times New Roman"/>
          <w:sz w:val="24"/>
          <w:szCs w:val="24"/>
        </w:rPr>
        <w:t>22</w:t>
      </w:r>
      <w:r w:rsidRPr="00C01217">
        <w:rPr>
          <w:rFonts w:ascii="Times New Roman" w:hAnsi="Times New Roman" w:cs="Times New Roman"/>
          <w:sz w:val="24"/>
          <w:szCs w:val="24"/>
        </w:rPr>
        <w:t xml:space="preserve">) which covers </w:t>
      </w:r>
      <w:r>
        <w:rPr>
          <w:rFonts w:ascii="Times New Roman" w:hAnsi="Times New Roman" w:cs="Times New Roman"/>
          <w:sz w:val="24"/>
          <w:szCs w:val="24"/>
        </w:rPr>
        <w:t>four</w:t>
      </w:r>
      <w:r w:rsidR="00462F94">
        <w:rPr>
          <w:rFonts w:ascii="Times New Roman" w:hAnsi="Times New Roman" w:cs="Times New Roman"/>
          <w:sz w:val="24"/>
          <w:szCs w:val="24"/>
        </w:rPr>
        <w:t xml:space="preserve"> economic cycles</w:t>
      </w:r>
      <w:r>
        <w:rPr>
          <w:rFonts w:ascii="Times New Roman" w:hAnsi="Times New Roman" w:cs="Times New Roman"/>
          <w:sz w:val="24"/>
          <w:szCs w:val="24"/>
        </w:rPr>
        <w:t>, including 3 crises</w:t>
      </w:r>
      <w:r w:rsidRPr="00C01217">
        <w:rPr>
          <w:rFonts w:ascii="Times New Roman" w:hAnsi="Times New Roman" w:cs="Times New Roman"/>
          <w:sz w:val="24"/>
          <w:szCs w:val="24"/>
        </w:rPr>
        <w:t>, the sub-prime crisis (2007-09)</w:t>
      </w:r>
      <w:r>
        <w:rPr>
          <w:rFonts w:ascii="Times New Roman" w:hAnsi="Times New Roman" w:cs="Times New Roman"/>
          <w:sz w:val="24"/>
          <w:szCs w:val="24"/>
        </w:rPr>
        <w:t xml:space="preserve">, </w:t>
      </w:r>
      <w:r w:rsidRPr="00C01217">
        <w:rPr>
          <w:rFonts w:ascii="Times New Roman" w:hAnsi="Times New Roman" w:cs="Times New Roman"/>
          <w:sz w:val="24"/>
          <w:szCs w:val="24"/>
        </w:rPr>
        <w:t>the European crisis (20</w:t>
      </w:r>
      <w:r>
        <w:rPr>
          <w:rFonts w:ascii="Times New Roman" w:hAnsi="Times New Roman" w:cs="Times New Roman"/>
          <w:sz w:val="24"/>
          <w:szCs w:val="24"/>
        </w:rPr>
        <w:t>10</w:t>
      </w:r>
      <w:r w:rsidRPr="00C01217">
        <w:rPr>
          <w:rFonts w:ascii="Times New Roman" w:hAnsi="Times New Roman" w:cs="Times New Roman"/>
          <w:sz w:val="24"/>
          <w:szCs w:val="24"/>
        </w:rPr>
        <w:t>-1</w:t>
      </w:r>
      <w:r>
        <w:rPr>
          <w:rFonts w:ascii="Times New Roman" w:hAnsi="Times New Roman" w:cs="Times New Roman"/>
          <w:sz w:val="24"/>
          <w:szCs w:val="24"/>
        </w:rPr>
        <w:t>2</w:t>
      </w:r>
      <w:r w:rsidRPr="00C01217">
        <w:rPr>
          <w:rFonts w:ascii="Times New Roman" w:hAnsi="Times New Roman" w:cs="Times New Roman"/>
          <w:sz w:val="24"/>
          <w:szCs w:val="24"/>
        </w:rPr>
        <w:t>)</w:t>
      </w:r>
      <w:r>
        <w:rPr>
          <w:rFonts w:ascii="Times New Roman" w:hAnsi="Times New Roman" w:cs="Times New Roman"/>
          <w:sz w:val="24"/>
          <w:szCs w:val="24"/>
        </w:rPr>
        <w:t xml:space="preserve">, a period of </w:t>
      </w:r>
      <w:r w:rsidR="00462F94">
        <w:rPr>
          <w:rFonts w:ascii="Times New Roman" w:hAnsi="Times New Roman" w:cs="Times New Roman"/>
          <w:sz w:val="24"/>
          <w:szCs w:val="24"/>
        </w:rPr>
        <w:t>stability/expansion</w:t>
      </w:r>
      <w:r>
        <w:rPr>
          <w:rFonts w:ascii="Times New Roman" w:hAnsi="Times New Roman" w:cs="Times New Roman"/>
          <w:sz w:val="24"/>
          <w:szCs w:val="24"/>
        </w:rPr>
        <w:t xml:space="preserve"> (2013-2019) and the covid-19 pandemic (</w:t>
      </w:r>
      <w:r w:rsidR="00462F94">
        <w:rPr>
          <w:rFonts w:ascii="Times New Roman" w:hAnsi="Times New Roman" w:cs="Times New Roman"/>
          <w:sz w:val="24"/>
          <w:szCs w:val="24"/>
        </w:rPr>
        <w:t>2020-2022).</w:t>
      </w:r>
    </w:p>
    <w:p w14:paraId="16E942A4" w14:textId="77777777" w:rsidR="00721AD6" w:rsidRDefault="00721AD6" w:rsidP="00242AE1">
      <w:pPr>
        <w:spacing w:line="360" w:lineRule="auto"/>
        <w:contextualSpacing/>
        <w:jc w:val="both"/>
        <w:rPr>
          <w:rFonts w:ascii="Times New Roman" w:hAnsi="Times New Roman" w:cs="Times New Roman"/>
          <w:sz w:val="24"/>
          <w:szCs w:val="24"/>
        </w:rPr>
      </w:pPr>
    </w:p>
    <w:p w14:paraId="004B13A9" w14:textId="5751FCAB" w:rsidR="00267B6A" w:rsidRDefault="00721AD6" w:rsidP="00721AD6">
      <w:pPr>
        <w:spacing w:line="360" w:lineRule="auto"/>
        <w:contextualSpacing/>
        <w:jc w:val="both"/>
        <w:rPr>
          <w:rFonts w:ascii="Times New Roman" w:hAnsi="Times New Roman" w:cs="Times New Roman"/>
          <w:sz w:val="24"/>
          <w:szCs w:val="24"/>
        </w:rPr>
      </w:pPr>
      <w:r w:rsidRPr="004B66C5">
        <w:rPr>
          <w:rFonts w:ascii="Times New Roman" w:hAnsi="Times New Roman" w:cs="Times New Roman"/>
          <w:sz w:val="24"/>
          <w:szCs w:val="24"/>
        </w:rPr>
        <w:t>The data set includes banks from developed countries,</w:t>
      </w:r>
      <w:r>
        <w:rPr>
          <w:rFonts w:ascii="Times New Roman" w:hAnsi="Times New Roman" w:cs="Times New Roman"/>
          <w:sz w:val="24"/>
          <w:szCs w:val="24"/>
        </w:rPr>
        <w:t xml:space="preserve"> including</w:t>
      </w:r>
      <w:r w:rsidRPr="004B66C5">
        <w:rPr>
          <w:rFonts w:ascii="Times New Roman" w:hAnsi="Times New Roman" w:cs="Times New Roman"/>
          <w:sz w:val="24"/>
          <w:szCs w:val="24"/>
        </w:rPr>
        <w:t xml:space="preserve"> </w:t>
      </w:r>
      <w:r>
        <w:rPr>
          <w:rFonts w:ascii="Times New Roman" w:hAnsi="Times New Roman" w:cs="Times New Roman"/>
          <w:sz w:val="24"/>
          <w:szCs w:val="24"/>
        </w:rPr>
        <w:t xml:space="preserve">North America (USA and Canada), </w:t>
      </w:r>
      <w:r w:rsidR="00FF13A6">
        <w:rPr>
          <w:rFonts w:ascii="Times New Roman" w:hAnsi="Times New Roman" w:cs="Times New Roman"/>
          <w:sz w:val="24"/>
          <w:szCs w:val="24"/>
        </w:rPr>
        <w:t xml:space="preserve">selected </w:t>
      </w:r>
      <w:r w:rsidRPr="004B66C5">
        <w:rPr>
          <w:rFonts w:ascii="Times New Roman" w:hAnsi="Times New Roman" w:cs="Times New Roman"/>
          <w:sz w:val="24"/>
          <w:szCs w:val="24"/>
        </w:rPr>
        <w:t>E</w:t>
      </w:r>
      <w:r w:rsidR="00267B6A">
        <w:rPr>
          <w:rFonts w:ascii="Times New Roman" w:hAnsi="Times New Roman" w:cs="Times New Roman"/>
          <w:sz w:val="24"/>
          <w:szCs w:val="24"/>
        </w:rPr>
        <w:t>urope</w:t>
      </w:r>
      <w:r w:rsidR="00FF13A6">
        <w:rPr>
          <w:rFonts w:ascii="Times New Roman" w:hAnsi="Times New Roman" w:cs="Times New Roman"/>
          <w:sz w:val="24"/>
          <w:szCs w:val="24"/>
        </w:rPr>
        <w:t>an countries</w:t>
      </w:r>
      <w:r w:rsidR="00267B6A" w:rsidRPr="004B66C5">
        <w:rPr>
          <w:rFonts w:ascii="Times New Roman" w:hAnsi="Times New Roman" w:cs="Times New Roman"/>
          <w:sz w:val="24"/>
          <w:szCs w:val="24"/>
        </w:rPr>
        <w:t xml:space="preserve"> </w:t>
      </w:r>
      <w:r w:rsidRPr="004B66C5">
        <w:rPr>
          <w:rFonts w:ascii="Times New Roman" w:hAnsi="Times New Roman" w:cs="Times New Roman"/>
          <w:sz w:val="24"/>
          <w:szCs w:val="24"/>
        </w:rPr>
        <w:t>(Austria, Belgium, Denmark, Finland, France, Germany, Greece, Ireland, Italy, Luxembourg, Netherlands, Portugal, Spain, Sweden</w:t>
      </w:r>
      <w:r w:rsidR="00267B6A">
        <w:rPr>
          <w:rFonts w:ascii="Times New Roman" w:hAnsi="Times New Roman" w:cs="Times New Roman"/>
          <w:sz w:val="24"/>
          <w:szCs w:val="24"/>
        </w:rPr>
        <w:t xml:space="preserve">, Turkey and </w:t>
      </w:r>
      <w:r w:rsidRPr="004B66C5">
        <w:rPr>
          <w:rFonts w:ascii="Times New Roman" w:hAnsi="Times New Roman" w:cs="Times New Roman"/>
          <w:sz w:val="24"/>
          <w:szCs w:val="24"/>
        </w:rPr>
        <w:t>UK) and Asia Pacific (Australia and New Zealand).</w:t>
      </w:r>
    </w:p>
    <w:p w14:paraId="7353E4BE" w14:textId="77777777" w:rsidR="00267B6A" w:rsidRDefault="00267B6A" w:rsidP="00721AD6">
      <w:pPr>
        <w:spacing w:line="360" w:lineRule="auto"/>
        <w:contextualSpacing/>
        <w:jc w:val="both"/>
        <w:rPr>
          <w:rFonts w:ascii="Times New Roman" w:hAnsi="Times New Roman" w:cs="Times New Roman"/>
          <w:sz w:val="24"/>
          <w:szCs w:val="24"/>
        </w:rPr>
      </w:pPr>
    </w:p>
    <w:p w14:paraId="5CFC9F35" w14:textId="6B1B4A1A" w:rsidR="002E3F93" w:rsidRDefault="00267B6A" w:rsidP="00721A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Developed countries were chosen to try and eliminate issues with the sovereign c</w:t>
      </w:r>
      <w:r w:rsidR="004752B2">
        <w:rPr>
          <w:rFonts w:ascii="Times New Roman" w:hAnsi="Times New Roman" w:cs="Times New Roman"/>
          <w:sz w:val="24"/>
          <w:szCs w:val="24"/>
        </w:rPr>
        <w:t>eiling</w:t>
      </w:r>
      <w:r w:rsidR="00E83A06">
        <w:rPr>
          <w:rFonts w:ascii="Times New Roman" w:hAnsi="Times New Roman" w:cs="Times New Roman"/>
          <w:sz w:val="24"/>
          <w:szCs w:val="24"/>
        </w:rPr>
        <w:t>, which is when a banks credit rating cannot e</w:t>
      </w:r>
      <w:r w:rsidR="00775F97">
        <w:rPr>
          <w:rFonts w:ascii="Times New Roman" w:hAnsi="Times New Roman" w:cs="Times New Roman"/>
          <w:sz w:val="24"/>
          <w:szCs w:val="24"/>
        </w:rPr>
        <w:t>x</w:t>
      </w:r>
      <w:r w:rsidR="00E83A06">
        <w:rPr>
          <w:rFonts w:ascii="Times New Roman" w:hAnsi="Times New Roman" w:cs="Times New Roman"/>
          <w:sz w:val="24"/>
          <w:szCs w:val="24"/>
        </w:rPr>
        <w:t xml:space="preserve">ceed the </w:t>
      </w:r>
      <w:r w:rsidR="00A3550E">
        <w:rPr>
          <w:rFonts w:ascii="Times New Roman" w:hAnsi="Times New Roman" w:cs="Times New Roman"/>
          <w:sz w:val="24"/>
          <w:szCs w:val="24"/>
        </w:rPr>
        <w:t xml:space="preserve">countries sovereign debt rating </w:t>
      </w:r>
      <w:r w:rsidR="00775F97" w:rsidRPr="00C7074F">
        <w:rPr>
          <w:rFonts w:ascii="Times New Roman" w:hAnsi="Times New Roman" w:cs="Times New Roman"/>
          <w:sz w:val="24"/>
          <w:szCs w:val="24"/>
        </w:rPr>
        <w:t xml:space="preserve">(Kaminsky and </w:t>
      </w:r>
      <w:proofErr w:type="spellStart"/>
      <w:r w:rsidR="00775F97" w:rsidRPr="00C7074F">
        <w:rPr>
          <w:rFonts w:ascii="Times New Roman" w:hAnsi="Times New Roman" w:cs="Times New Roman"/>
          <w:sz w:val="24"/>
          <w:szCs w:val="24"/>
        </w:rPr>
        <w:t>Schmukler</w:t>
      </w:r>
      <w:proofErr w:type="spellEnd"/>
      <w:r w:rsidR="00775F97" w:rsidRPr="00C7074F">
        <w:rPr>
          <w:rFonts w:ascii="Times New Roman" w:hAnsi="Times New Roman" w:cs="Times New Roman"/>
          <w:sz w:val="24"/>
          <w:szCs w:val="24"/>
        </w:rPr>
        <w:t>, 2002)</w:t>
      </w:r>
      <w:r w:rsidR="00775F97">
        <w:rPr>
          <w:rFonts w:ascii="Times New Roman" w:hAnsi="Times New Roman" w:cs="Times New Roman"/>
          <w:sz w:val="24"/>
          <w:szCs w:val="24"/>
        </w:rPr>
        <w:t>.</w:t>
      </w:r>
      <w:r w:rsidR="002E3F93">
        <w:rPr>
          <w:rFonts w:ascii="Times New Roman" w:hAnsi="Times New Roman" w:cs="Times New Roman"/>
          <w:sz w:val="24"/>
          <w:szCs w:val="24"/>
        </w:rPr>
        <w:t xml:space="preserve"> All listed banks from within these countries were included in the dataset. </w:t>
      </w:r>
    </w:p>
    <w:p w14:paraId="10F6C09C" w14:textId="6547C935" w:rsidR="008B29F7" w:rsidRDefault="008B29F7" w:rsidP="00721AD6">
      <w:pPr>
        <w:spacing w:line="360" w:lineRule="auto"/>
        <w:contextualSpacing/>
        <w:jc w:val="both"/>
        <w:rPr>
          <w:rFonts w:ascii="Times New Roman" w:hAnsi="Times New Roman" w:cs="Times New Roman"/>
          <w:sz w:val="24"/>
          <w:szCs w:val="24"/>
        </w:rPr>
      </w:pPr>
    </w:p>
    <w:p w14:paraId="050BC8AD" w14:textId="09EB5768" w:rsidR="008B29F7" w:rsidRDefault="008B29F7" w:rsidP="008B29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Similar to Alsakka and ap Gwilym (2012) this paper investigates whether there is a lead lag relationship present between two agencies, Moody’s and S&amp;P, in ratings, outlook and watch actions. If this relationship does exist it would imply that a banking issuer which has recently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experienced a ratings change or been placed on positive (negative) outlook/watch is more likely to experience a further ratings change or positive (negative) outlook/watch action within a given time horizon.  </w:t>
      </w:r>
    </w:p>
    <w:p w14:paraId="301E52BD" w14:textId="77777777" w:rsidR="008B29F7" w:rsidRPr="001A428C" w:rsidRDefault="008B29F7" w:rsidP="008B29F7">
      <w:pPr>
        <w:spacing w:line="360" w:lineRule="auto"/>
        <w:contextualSpacing/>
        <w:jc w:val="both"/>
        <w:rPr>
          <w:rFonts w:ascii="Times New Roman" w:hAnsi="Times New Roman" w:cs="Times New Roman"/>
          <w:sz w:val="24"/>
          <w:szCs w:val="24"/>
        </w:rPr>
      </w:pPr>
    </w:p>
    <w:p w14:paraId="1658F7DA" w14:textId="29893789" w:rsidR="008B29F7" w:rsidRDefault="008B29F7" w:rsidP="008B29F7">
      <w:pPr>
        <w:spacing w:line="360" w:lineRule="auto"/>
        <w:contextualSpacing/>
        <w:jc w:val="both"/>
        <w:rPr>
          <w:rFonts w:ascii="Times New Roman" w:hAnsi="Times New Roman" w:cs="Times New Roman"/>
          <w:sz w:val="24"/>
          <w:szCs w:val="24"/>
        </w:rPr>
      </w:pPr>
      <w:r w:rsidRPr="00447868">
        <w:rPr>
          <w:rFonts w:ascii="Times New Roman" w:hAnsi="Times New Roman" w:cs="Times New Roman"/>
          <w:sz w:val="24"/>
          <w:szCs w:val="24"/>
        </w:rPr>
        <w:t>The null hypothes</w:t>
      </w:r>
      <w:r>
        <w:rPr>
          <w:rFonts w:ascii="Times New Roman" w:hAnsi="Times New Roman" w:cs="Times New Roman"/>
          <w:sz w:val="24"/>
          <w:szCs w:val="24"/>
        </w:rPr>
        <w:t>es of these tests are:</w:t>
      </w:r>
    </w:p>
    <w:p w14:paraId="6E291BD7" w14:textId="77777777" w:rsidR="008B29F7" w:rsidRDefault="008B29F7" w:rsidP="008B29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positive or negative lead-lag relationship amongst Moody’s and S&amp;P in ratings changes. </w:t>
      </w:r>
    </w:p>
    <w:p w14:paraId="3A1E0968" w14:textId="77777777" w:rsidR="008B29F7" w:rsidRDefault="008B29F7" w:rsidP="008B29F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positive or negative lead-lag relationship amongst Moody’s and S&amp;P in watch announcements. </w:t>
      </w:r>
    </w:p>
    <w:p w14:paraId="0DFEDA5D" w14:textId="77777777" w:rsidR="008B29F7" w:rsidRDefault="008B29F7" w:rsidP="00721AD6">
      <w:pPr>
        <w:spacing w:line="360" w:lineRule="auto"/>
        <w:contextualSpacing/>
        <w:jc w:val="both"/>
        <w:rPr>
          <w:rFonts w:ascii="Times New Roman" w:hAnsi="Times New Roman" w:cs="Times New Roman"/>
          <w:sz w:val="24"/>
          <w:szCs w:val="24"/>
        </w:rPr>
      </w:pPr>
    </w:p>
    <w:p w14:paraId="06FED595" w14:textId="361EF729" w:rsidR="00721AD6" w:rsidRDefault="00775F97" w:rsidP="00721AD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752B2">
        <w:rPr>
          <w:rFonts w:ascii="Times New Roman" w:hAnsi="Times New Roman" w:cs="Times New Roman"/>
          <w:sz w:val="24"/>
          <w:szCs w:val="24"/>
        </w:rPr>
        <w:t xml:space="preserve"> </w:t>
      </w:r>
      <w:r w:rsidR="00267B6A">
        <w:rPr>
          <w:rFonts w:ascii="Times New Roman" w:hAnsi="Times New Roman" w:cs="Times New Roman"/>
          <w:sz w:val="24"/>
          <w:szCs w:val="24"/>
        </w:rPr>
        <w:t xml:space="preserve"> </w:t>
      </w:r>
      <w:r w:rsidR="00721AD6" w:rsidRPr="004B66C5">
        <w:rPr>
          <w:rFonts w:ascii="Times New Roman" w:hAnsi="Times New Roman" w:cs="Times New Roman"/>
          <w:sz w:val="24"/>
          <w:szCs w:val="24"/>
        </w:rPr>
        <w:t xml:space="preserve">  </w:t>
      </w:r>
    </w:p>
    <w:p w14:paraId="1D2F4E83" w14:textId="0E420C94" w:rsidR="00C01217" w:rsidRPr="00C01217" w:rsidRDefault="00C01217" w:rsidP="00242AE1">
      <w:pPr>
        <w:spacing w:line="360" w:lineRule="auto"/>
        <w:contextualSpacing/>
        <w:jc w:val="both"/>
        <w:rPr>
          <w:rFonts w:ascii="Times New Roman" w:hAnsi="Times New Roman" w:cs="Times New Roman"/>
          <w:sz w:val="24"/>
          <w:szCs w:val="24"/>
        </w:rPr>
      </w:pPr>
      <w:r w:rsidRPr="00C01217">
        <w:rPr>
          <w:rFonts w:ascii="Times New Roman" w:hAnsi="Times New Roman" w:cs="Times New Roman"/>
          <w:sz w:val="24"/>
          <w:szCs w:val="24"/>
        </w:rPr>
        <w:t xml:space="preserve"> </w:t>
      </w:r>
    </w:p>
    <w:p w14:paraId="16C7B29D" w14:textId="061BF872" w:rsidR="00C01217" w:rsidRDefault="00C01217" w:rsidP="00242AE1">
      <w:pPr>
        <w:spacing w:line="360" w:lineRule="auto"/>
        <w:contextualSpacing/>
        <w:jc w:val="both"/>
        <w:rPr>
          <w:rFonts w:ascii="Times New Roman" w:hAnsi="Times New Roman" w:cs="Times New Roman"/>
          <w:sz w:val="24"/>
          <w:szCs w:val="24"/>
        </w:rPr>
      </w:pPr>
    </w:p>
    <w:p w14:paraId="7A16E4DC" w14:textId="7263759A" w:rsidR="00C01217" w:rsidRPr="001932F8" w:rsidRDefault="00C01217" w:rsidP="001932F8">
      <w:pPr>
        <w:pStyle w:val="ListParagraph"/>
        <w:numPr>
          <w:ilvl w:val="0"/>
          <w:numId w:val="1"/>
        </w:numPr>
        <w:spacing w:line="360" w:lineRule="auto"/>
        <w:jc w:val="both"/>
        <w:rPr>
          <w:rFonts w:ascii="Times New Roman" w:hAnsi="Times New Roman" w:cs="Times New Roman"/>
          <w:sz w:val="24"/>
          <w:szCs w:val="24"/>
        </w:rPr>
      </w:pPr>
      <w:r w:rsidRPr="001932F8">
        <w:rPr>
          <w:rFonts w:ascii="Times New Roman" w:hAnsi="Times New Roman" w:cs="Times New Roman"/>
          <w:sz w:val="24"/>
          <w:szCs w:val="24"/>
        </w:rPr>
        <w:lastRenderedPageBreak/>
        <w:t xml:space="preserve">Findings </w:t>
      </w:r>
    </w:p>
    <w:p w14:paraId="029224D6" w14:textId="006B1DBC" w:rsidR="00462F94" w:rsidRDefault="00B76A5D" w:rsidP="00242A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data analysis for this paper is </w:t>
      </w:r>
      <w:r w:rsidR="00AE07FB">
        <w:rPr>
          <w:rFonts w:ascii="Times New Roman" w:hAnsi="Times New Roman" w:cs="Times New Roman"/>
          <w:sz w:val="24"/>
          <w:szCs w:val="24"/>
        </w:rPr>
        <w:t xml:space="preserve">a work in progress but will be done in time for the full paper submission for the conference. </w:t>
      </w:r>
      <w:r w:rsidR="0068089A">
        <w:rPr>
          <w:rFonts w:ascii="Times New Roman" w:hAnsi="Times New Roman" w:cs="Times New Roman"/>
          <w:sz w:val="24"/>
          <w:szCs w:val="24"/>
        </w:rPr>
        <w:t xml:space="preserve"> </w:t>
      </w:r>
    </w:p>
    <w:p w14:paraId="044FB9F8" w14:textId="019E04B6" w:rsidR="00C01217" w:rsidRDefault="00C01217" w:rsidP="00242AE1">
      <w:pPr>
        <w:spacing w:line="360" w:lineRule="auto"/>
        <w:contextualSpacing/>
        <w:jc w:val="both"/>
        <w:rPr>
          <w:rFonts w:ascii="Times New Roman" w:hAnsi="Times New Roman" w:cs="Times New Roman"/>
          <w:sz w:val="24"/>
          <w:szCs w:val="24"/>
        </w:rPr>
      </w:pPr>
    </w:p>
    <w:p w14:paraId="262774A3" w14:textId="392DAF9D" w:rsidR="00C01217" w:rsidRPr="001932F8" w:rsidRDefault="00C01217" w:rsidP="001932F8">
      <w:pPr>
        <w:pStyle w:val="ListParagraph"/>
        <w:numPr>
          <w:ilvl w:val="0"/>
          <w:numId w:val="1"/>
        </w:numPr>
        <w:spacing w:line="360" w:lineRule="auto"/>
        <w:jc w:val="both"/>
        <w:rPr>
          <w:rFonts w:ascii="Times New Roman" w:hAnsi="Times New Roman" w:cs="Times New Roman"/>
          <w:sz w:val="24"/>
          <w:szCs w:val="24"/>
        </w:rPr>
      </w:pPr>
      <w:r w:rsidRPr="001932F8">
        <w:rPr>
          <w:rFonts w:ascii="Times New Roman" w:hAnsi="Times New Roman" w:cs="Times New Roman"/>
          <w:sz w:val="24"/>
          <w:szCs w:val="24"/>
        </w:rPr>
        <w:t>Conclusion</w:t>
      </w:r>
    </w:p>
    <w:p w14:paraId="2D479C45" w14:textId="639E0589" w:rsidR="00C01217" w:rsidRDefault="00E7425D" w:rsidP="00242A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Work in progress. </w:t>
      </w:r>
    </w:p>
    <w:p w14:paraId="0698EF43" w14:textId="77777777" w:rsidR="000B52E9" w:rsidRDefault="000B52E9" w:rsidP="00242AE1">
      <w:pPr>
        <w:spacing w:line="360" w:lineRule="auto"/>
        <w:contextualSpacing/>
        <w:jc w:val="both"/>
        <w:rPr>
          <w:rFonts w:ascii="Times New Roman" w:hAnsi="Times New Roman" w:cs="Times New Roman"/>
          <w:sz w:val="24"/>
          <w:szCs w:val="24"/>
        </w:rPr>
      </w:pPr>
    </w:p>
    <w:p w14:paraId="39EC74A2" w14:textId="77777777" w:rsidR="000B52E9" w:rsidRDefault="000B52E9" w:rsidP="00242AE1">
      <w:pPr>
        <w:spacing w:line="360" w:lineRule="auto"/>
        <w:contextualSpacing/>
        <w:jc w:val="both"/>
        <w:rPr>
          <w:rFonts w:ascii="Times New Roman" w:hAnsi="Times New Roman" w:cs="Times New Roman"/>
          <w:sz w:val="24"/>
          <w:szCs w:val="24"/>
        </w:rPr>
      </w:pPr>
    </w:p>
    <w:p w14:paraId="61996877" w14:textId="341F9038" w:rsidR="00C01217" w:rsidRDefault="00C01217" w:rsidP="00242AE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References</w:t>
      </w:r>
    </w:p>
    <w:p w14:paraId="2C748AE1" w14:textId="521B6547" w:rsidR="00462F94" w:rsidRDefault="00462F94" w:rsidP="00242AE1">
      <w:pPr>
        <w:spacing w:line="360" w:lineRule="auto"/>
        <w:contextualSpacing/>
        <w:jc w:val="both"/>
        <w:rPr>
          <w:rStyle w:val="Strong"/>
          <w:rFonts w:ascii="Times New Roman" w:eastAsiaTheme="majorEastAsia" w:hAnsi="Times New Roman" w:cs="Times New Roman"/>
          <w:b w:val="0"/>
          <w:bCs w:val="0"/>
          <w:sz w:val="24"/>
          <w:szCs w:val="24"/>
        </w:rPr>
      </w:pPr>
    </w:p>
    <w:p w14:paraId="7C1DC535" w14:textId="77777777" w:rsidR="006538B7" w:rsidRDefault="006538B7" w:rsidP="006538B7">
      <w:pPr>
        <w:spacing w:line="360" w:lineRule="auto"/>
        <w:contextualSpacing/>
        <w:jc w:val="both"/>
        <w:rPr>
          <w:rFonts w:ascii="Times New Roman" w:hAnsi="Times New Roman" w:cs="Times New Roman"/>
          <w:sz w:val="24"/>
          <w:szCs w:val="24"/>
        </w:rPr>
      </w:pPr>
      <w:r w:rsidRPr="00951DB3">
        <w:rPr>
          <w:rFonts w:ascii="Times New Roman" w:hAnsi="Times New Roman" w:cs="Times New Roman"/>
          <w:sz w:val="24"/>
          <w:szCs w:val="24"/>
        </w:rPr>
        <w:t>Alsak</w:t>
      </w:r>
      <w:r>
        <w:rPr>
          <w:rFonts w:ascii="Times New Roman" w:hAnsi="Times New Roman" w:cs="Times New Roman"/>
          <w:sz w:val="24"/>
          <w:szCs w:val="24"/>
        </w:rPr>
        <w:t>ka, R., and ap Gwilym, O. (2010</w:t>
      </w:r>
      <w:r w:rsidRPr="00951DB3">
        <w:rPr>
          <w:rFonts w:ascii="Times New Roman" w:hAnsi="Times New Roman" w:cs="Times New Roman"/>
          <w:sz w:val="24"/>
          <w:szCs w:val="24"/>
        </w:rPr>
        <w:t xml:space="preserve">) Leads and lags in sovereign credit ratings, </w:t>
      </w:r>
      <w:r w:rsidRPr="00951DB3">
        <w:rPr>
          <w:rFonts w:ascii="Times New Roman" w:hAnsi="Times New Roman" w:cs="Times New Roman"/>
          <w:i/>
          <w:sz w:val="24"/>
          <w:szCs w:val="24"/>
        </w:rPr>
        <w:t>Journal of Banking &amp; Finance</w:t>
      </w:r>
      <w:r w:rsidRPr="00951DB3">
        <w:rPr>
          <w:rFonts w:ascii="Times New Roman" w:hAnsi="Times New Roman" w:cs="Times New Roman"/>
          <w:sz w:val="24"/>
          <w:szCs w:val="24"/>
        </w:rPr>
        <w:t>, Vol.34, pp.2614-2626.</w:t>
      </w:r>
    </w:p>
    <w:p w14:paraId="00093408" w14:textId="68FAEB28" w:rsidR="006538B7" w:rsidRDefault="006538B7" w:rsidP="00242AE1">
      <w:pPr>
        <w:spacing w:line="360" w:lineRule="auto"/>
        <w:contextualSpacing/>
        <w:jc w:val="both"/>
        <w:rPr>
          <w:rStyle w:val="Strong"/>
          <w:rFonts w:ascii="Times New Roman" w:eastAsiaTheme="majorEastAsia" w:hAnsi="Times New Roman" w:cs="Times New Roman"/>
          <w:b w:val="0"/>
          <w:bCs w:val="0"/>
          <w:sz w:val="24"/>
          <w:szCs w:val="24"/>
        </w:rPr>
      </w:pPr>
    </w:p>
    <w:p w14:paraId="7D1C3AF7" w14:textId="713CED2D" w:rsidR="00FC2AB9" w:rsidRPr="00FC2AB9" w:rsidRDefault="00FC2AB9" w:rsidP="00242AE1">
      <w:pPr>
        <w:spacing w:line="360" w:lineRule="auto"/>
        <w:contextualSpacing/>
        <w:jc w:val="both"/>
        <w:rPr>
          <w:rStyle w:val="Strong"/>
          <w:rFonts w:ascii="Times New Roman" w:hAnsi="Times New Roman" w:cs="Times New Roman"/>
          <w:b w:val="0"/>
          <w:bCs w:val="0"/>
          <w:i/>
          <w:sz w:val="24"/>
          <w:szCs w:val="24"/>
        </w:rPr>
      </w:pPr>
      <w:r w:rsidRPr="00951DB3">
        <w:rPr>
          <w:rFonts w:ascii="Times New Roman" w:hAnsi="Times New Roman" w:cs="Times New Roman"/>
          <w:sz w:val="24"/>
          <w:szCs w:val="24"/>
        </w:rPr>
        <w:t>Alsakka, R., and ap Gwilym, O. (</w:t>
      </w:r>
      <w:r>
        <w:rPr>
          <w:rFonts w:ascii="Times New Roman" w:hAnsi="Times New Roman" w:cs="Times New Roman"/>
          <w:sz w:val="24"/>
          <w:szCs w:val="24"/>
        </w:rPr>
        <w:t>2012</w:t>
      </w:r>
      <w:r w:rsidRPr="00951DB3">
        <w:rPr>
          <w:rFonts w:ascii="Times New Roman" w:hAnsi="Times New Roman" w:cs="Times New Roman"/>
          <w:sz w:val="24"/>
          <w:szCs w:val="24"/>
        </w:rPr>
        <w:t xml:space="preserve">) Rating agencies' credit signals: </w:t>
      </w:r>
      <w:r>
        <w:rPr>
          <w:rFonts w:ascii="Times New Roman" w:hAnsi="Times New Roman" w:cs="Times New Roman"/>
          <w:sz w:val="24"/>
          <w:szCs w:val="24"/>
        </w:rPr>
        <w:t>An analysis of s</w:t>
      </w:r>
      <w:r w:rsidRPr="00951DB3">
        <w:rPr>
          <w:rFonts w:ascii="Times New Roman" w:hAnsi="Times New Roman" w:cs="Times New Roman"/>
          <w:sz w:val="24"/>
          <w:szCs w:val="24"/>
        </w:rPr>
        <w:t xml:space="preserve">overeign watchlist and outlook, </w:t>
      </w:r>
      <w:r>
        <w:rPr>
          <w:rFonts w:ascii="Times New Roman" w:hAnsi="Times New Roman" w:cs="Times New Roman"/>
          <w:i/>
          <w:sz w:val="24"/>
          <w:szCs w:val="24"/>
        </w:rPr>
        <w:t>International Review of Financial Analysis</w:t>
      </w:r>
      <w:r>
        <w:rPr>
          <w:rFonts w:ascii="Times New Roman" w:hAnsi="Times New Roman" w:cs="Times New Roman"/>
          <w:sz w:val="24"/>
          <w:szCs w:val="24"/>
        </w:rPr>
        <w:t>, Vol.21,pp.45-55</w:t>
      </w:r>
      <w:r w:rsidRPr="00951DB3">
        <w:rPr>
          <w:rFonts w:ascii="Times New Roman" w:hAnsi="Times New Roman" w:cs="Times New Roman"/>
          <w:i/>
          <w:sz w:val="24"/>
          <w:szCs w:val="24"/>
        </w:rPr>
        <w:t xml:space="preserve">. </w:t>
      </w:r>
    </w:p>
    <w:p w14:paraId="25B34215" w14:textId="77777777" w:rsidR="00FC2AB9" w:rsidRDefault="00FC2AB9" w:rsidP="00242AE1">
      <w:pPr>
        <w:spacing w:line="360" w:lineRule="auto"/>
        <w:contextualSpacing/>
        <w:jc w:val="both"/>
        <w:rPr>
          <w:rStyle w:val="Strong"/>
          <w:rFonts w:ascii="Times New Roman" w:eastAsiaTheme="majorEastAsia" w:hAnsi="Times New Roman" w:cs="Times New Roman"/>
          <w:b w:val="0"/>
          <w:bCs w:val="0"/>
          <w:sz w:val="24"/>
          <w:szCs w:val="24"/>
        </w:rPr>
      </w:pPr>
    </w:p>
    <w:p w14:paraId="6931E534" w14:textId="20B89828" w:rsidR="000B52E9" w:rsidRDefault="000B52E9" w:rsidP="000B52E9">
      <w:pPr>
        <w:spacing w:line="360" w:lineRule="auto"/>
        <w:contextualSpacing/>
        <w:jc w:val="both"/>
        <w:rPr>
          <w:rFonts w:ascii="Times New Roman" w:eastAsia="Calibri" w:hAnsi="Times New Roman" w:cs="Times New Roman"/>
          <w:sz w:val="24"/>
          <w:szCs w:val="24"/>
        </w:rPr>
      </w:pPr>
      <w:r w:rsidRPr="00951DB3">
        <w:rPr>
          <w:rFonts w:ascii="Times New Roman" w:hAnsi="Times New Roman" w:cs="Times New Roman"/>
          <w:sz w:val="24"/>
          <w:szCs w:val="24"/>
        </w:rPr>
        <w:t xml:space="preserve">Altman, E.I. and </w:t>
      </w:r>
      <w:proofErr w:type="spellStart"/>
      <w:r w:rsidRPr="00951DB3">
        <w:rPr>
          <w:rFonts w:ascii="Times New Roman" w:hAnsi="Times New Roman" w:cs="Times New Roman"/>
          <w:sz w:val="24"/>
          <w:szCs w:val="24"/>
        </w:rPr>
        <w:t>Rijken</w:t>
      </w:r>
      <w:proofErr w:type="spellEnd"/>
      <w:r w:rsidRPr="00951DB3">
        <w:rPr>
          <w:rFonts w:ascii="Times New Roman" w:hAnsi="Times New Roman" w:cs="Times New Roman"/>
          <w:sz w:val="24"/>
          <w:szCs w:val="24"/>
        </w:rPr>
        <w:t>, H.A.</w:t>
      </w:r>
      <w:r w:rsidRPr="00951DB3">
        <w:rPr>
          <w:rFonts w:ascii="Times New Roman" w:eastAsia="Calibri" w:hAnsi="Times New Roman" w:cs="Times New Roman"/>
          <w:sz w:val="24"/>
          <w:szCs w:val="24"/>
        </w:rPr>
        <w:t xml:space="preserve"> (2004) How rating agencies achieve rating stability, </w:t>
      </w:r>
      <w:r w:rsidRPr="00951DB3">
        <w:rPr>
          <w:rFonts w:ascii="Times New Roman" w:eastAsia="Calibri" w:hAnsi="Times New Roman" w:cs="Times New Roman"/>
          <w:i/>
          <w:sz w:val="24"/>
          <w:szCs w:val="24"/>
        </w:rPr>
        <w:t>Journal of Banking and Finance</w:t>
      </w:r>
      <w:r w:rsidRPr="00951DB3">
        <w:rPr>
          <w:rFonts w:ascii="Times New Roman" w:hAnsi="Times New Roman" w:cs="Times New Roman"/>
          <w:sz w:val="24"/>
          <w:szCs w:val="24"/>
        </w:rPr>
        <w:t>, Vol.28</w:t>
      </w:r>
      <w:r w:rsidRPr="00951DB3">
        <w:rPr>
          <w:rFonts w:ascii="Times New Roman" w:eastAsia="Calibri" w:hAnsi="Times New Roman" w:cs="Times New Roman"/>
          <w:sz w:val="24"/>
          <w:szCs w:val="24"/>
        </w:rPr>
        <w:t>, pp.2679-2714.</w:t>
      </w:r>
    </w:p>
    <w:p w14:paraId="64B1EE0D" w14:textId="1906596B" w:rsidR="00607832" w:rsidRDefault="00607832" w:rsidP="000B52E9">
      <w:pPr>
        <w:spacing w:line="360" w:lineRule="auto"/>
        <w:contextualSpacing/>
        <w:jc w:val="both"/>
        <w:rPr>
          <w:rFonts w:ascii="Times New Roman" w:eastAsia="Calibri" w:hAnsi="Times New Roman" w:cs="Times New Roman"/>
          <w:sz w:val="24"/>
          <w:szCs w:val="24"/>
        </w:rPr>
      </w:pPr>
    </w:p>
    <w:p w14:paraId="23A1188B" w14:textId="4753F0EE" w:rsidR="00607832" w:rsidRPr="00951DB3" w:rsidRDefault="00607832" w:rsidP="000B52E9">
      <w:pPr>
        <w:spacing w:line="360" w:lineRule="auto"/>
        <w:contextualSpacing/>
        <w:jc w:val="both"/>
        <w:rPr>
          <w:rFonts w:ascii="Times New Roman" w:hAnsi="Times New Roman" w:cs="Times New Roman"/>
          <w:sz w:val="24"/>
          <w:szCs w:val="24"/>
        </w:rPr>
      </w:pPr>
      <w:r w:rsidRPr="00951DB3">
        <w:rPr>
          <w:rFonts w:ascii="Times New Roman" w:hAnsi="Times New Roman" w:cs="Times New Roman"/>
          <w:sz w:val="24"/>
          <w:szCs w:val="24"/>
        </w:rPr>
        <w:t xml:space="preserve">Amato, J.D. and </w:t>
      </w:r>
      <w:proofErr w:type="spellStart"/>
      <w:r w:rsidRPr="00951DB3">
        <w:rPr>
          <w:rFonts w:ascii="Times New Roman" w:hAnsi="Times New Roman" w:cs="Times New Roman"/>
          <w:sz w:val="24"/>
          <w:szCs w:val="24"/>
        </w:rPr>
        <w:t>Furfine</w:t>
      </w:r>
      <w:proofErr w:type="spellEnd"/>
      <w:r w:rsidRPr="00951DB3">
        <w:rPr>
          <w:rFonts w:ascii="Times New Roman" w:hAnsi="Times New Roman" w:cs="Times New Roman"/>
          <w:sz w:val="24"/>
          <w:szCs w:val="24"/>
        </w:rPr>
        <w:t xml:space="preserve">, C.H. (2004) Are credit ratings procyclical? </w:t>
      </w:r>
      <w:r w:rsidRPr="00951DB3">
        <w:rPr>
          <w:rFonts w:ascii="Times New Roman" w:hAnsi="Times New Roman" w:cs="Times New Roman"/>
          <w:i/>
          <w:iCs/>
          <w:sz w:val="24"/>
          <w:szCs w:val="24"/>
        </w:rPr>
        <w:t>Journal of Banking &amp; Finance</w:t>
      </w:r>
      <w:r w:rsidRPr="00951DB3">
        <w:rPr>
          <w:rFonts w:ascii="Times New Roman" w:hAnsi="Times New Roman" w:cs="Times New Roman"/>
          <w:sz w:val="24"/>
          <w:szCs w:val="24"/>
        </w:rPr>
        <w:t xml:space="preserve">, Vol.28, pp.2641-2677.  </w:t>
      </w:r>
    </w:p>
    <w:p w14:paraId="28508FE7" w14:textId="11CED610" w:rsidR="005159BE" w:rsidRDefault="005159BE" w:rsidP="005159BE">
      <w:pPr>
        <w:spacing w:line="360" w:lineRule="auto"/>
        <w:contextualSpacing/>
        <w:jc w:val="both"/>
        <w:rPr>
          <w:rStyle w:val="Strong"/>
          <w:rFonts w:ascii="Times New Roman" w:eastAsiaTheme="majorEastAsia" w:hAnsi="Times New Roman" w:cs="Times New Roman"/>
          <w:sz w:val="24"/>
          <w:szCs w:val="24"/>
        </w:rPr>
      </w:pPr>
    </w:p>
    <w:p w14:paraId="46F6E560" w14:textId="07E15BF5" w:rsidR="000B52E9" w:rsidRDefault="000B52E9" w:rsidP="005159BE">
      <w:pPr>
        <w:spacing w:line="360" w:lineRule="auto"/>
        <w:contextualSpacing/>
        <w:jc w:val="both"/>
        <w:rPr>
          <w:rFonts w:ascii="Times New Roman" w:hAnsi="Times New Roman" w:cs="Times New Roman"/>
          <w:sz w:val="24"/>
          <w:szCs w:val="24"/>
        </w:rPr>
      </w:pPr>
      <w:r w:rsidRPr="00951DB3">
        <w:rPr>
          <w:rFonts w:ascii="Times New Roman" w:hAnsi="Times New Roman" w:cs="Times New Roman"/>
          <w:sz w:val="24"/>
          <w:szCs w:val="24"/>
        </w:rPr>
        <w:t xml:space="preserve">Cantor, R., and Mann, C. (2007) Analysing the trade-off between ratings accuracy and stability, </w:t>
      </w:r>
      <w:r w:rsidRPr="00951DB3">
        <w:rPr>
          <w:rFonts w:ascii="Times New Roman" w:hAnsi="Times New Roman" w:cs="Times New Roman"/>
          <w:i/>
          <w:sz w:val="24"/>
          <w:szCs w:val="24"/>
        </w:rPr>
        <w:t xml:space="preserve">Journal of Fixed Income, </w:t>
      </w:r>
      <w:r w:rsidRPr="00951DB3">
        <w:rPr>
          <w:rFonts w:ascii="Times New Roman" w:hAnsi="Times New Roman" w:cs="Times New Roman"/>
          <w:sz w:val="24"/>
          <w:szCs w:val="24"/>
        </w:rPr>
        <w:t>Vol.16, pp.60-68.</w:t>
      </w:r>
    </w:p>
    <w:p w14:paraId="2C626517" w14:textId="77777777" w:rsidR="005159BE" w:rsidRDefault="005159BE" w:rsidP="00242AE1">
      <w:pPr>
        <w:spacing w:line="360" w:lineRule="auto"/>
        <w:contextualSpacing/>
        <w:jc w:val="both"/>
        <w:rPr>
          <w:rStyle w:val="Strong"/>
          <w:rFonts w:ascii="Times New Roman" w:eastAsiaTheme="majorEastAsia" w:hAnsi="Times New Roman" w:cs="Times New Roman"/>
          <w:b w:val="0"/>
          <w:bCs w:val="0"/>
          <w:sz w:val="24"/>
          <w:szCs w:val="24"/>
        </w:rPr>
      </w:pPr>
    </w:p>
    <w:p w14:paraId="00769AF2" w14:textId="4C64DD88" w:rsidR="00462F94" w:rsidRPr="00462F94" w:rsidRDefault="00462F94" w:rsidP="00242AE1">
      <w:pPr>
        <w:spacing w:line="360" w:lineRule="auto"/>
        <w:contextualSpacing/>
        <w:jc w:val="both"/>
        <w:rPr>
          <w:rStyle w:val="Strong"/>
          <w:rFonts w:ascii="Times New Roman" w:eastAsiaTheme="majorEastAsia" w:hAnsi="Times New Roman" w:cs="Times New Roman"/>
          <w:b w:val="0"/>
          <w:bCs w:val="0"/>
          <w:sz w:val="24"/>
          <w:szCs w:val="24"/>
        </w:rPr>
      </w:pPr>
      <w:r w:rsidRPr="00462F94">
        <w:rPr>
          <w:rStyle w:val="Strong"/>
          <w:rFonts w:ascii="Times New Roman" w:eastAsiaTheme="majorEastAsia" w:hAnsi="Times New Roman" w:cs="Times New Roman"/>
          <w:b w:val="0"/>
          <w:bCs w:val="0"/>
          <w:sz w:val="24"/>
          <w:szCs w:val="24"/>
        </w:rPr>
        <w:t xml:space="preserve">Duff, A., </w:t>
      </w:r>
      <w:proofErr w:type="spellStart"/>
      <w:r w:rsidRPr="00462F94">
        <w:rPr>
          <w:rStyle w:val="Strong"/>
          <w:rFonts w:ascii="Times New Roman" w:eastAsiaTheme="majorEastAsia" w:hAnsi="Times New Roman" w:cs="Times New Roman"/>
          <w:b w:val="0"/>
          <w:bCs w:val="0"/>
          <w:sz w:val="24"/>
          <w:szCs w:val="24"/>
        </w:rPr>
        <w:t>Einig</w:t>
      </w:r>
      <w:proofErr w:type="spellEnd"/>
      <w:r w:rsidRPr="00462F94">
        <w:rPr>
          <w:rStyle w:val="Strong"/>
          <w:rFonts w:ascii="Times New Roman" w:eastAsiaTheme="majorEastAsia" w:hAnsi="Times New Roman" w:cs="Times New Roman"/>
          <w:b w:val="0"/>
          <w:bCs w:val="0"/>
          <w:sz w:val="24"/>
          <w:szCs w:val="24"/>
        </w:rPr>
        <w:t xml:space="preserve">, S. (2009) Understanding credit ratings quality: Evidence from UK debt market participants, </w:t>
      </w:r>
      <w:r w:rsidRPr="00462F94">
        <w:rPr>
          <w:rStyle w:val="Strong"/>
          <w:rFonts w:ascii="Times New Roman" w:eastAsiaTheme="majorEastAsia" w:hAnsi="Times New Roman" w:cs="Times New Roman"/>
          <w:b w:val="0"/>
          <w:bCs w:val="0"/>
          <w:i/>
          <w:iCs/>
          <w:sz w:val="24"/>
          <w:szCs w:val="24"/>
        </w:rPr>
        <w:t>The British Accounting Review</w:t>
      </w:r>
      <w:r>
        <w:rPr>
          <w:rStyle w:val="Strong"/>
          <w:rFonts w:ascii="Times New Roman" w:eastAsiaTheme="majorEastAsia" w:hAnsi="Times New Roman" w:cs="Times New Roman"/>
          <w:b w:val="0"/>
          <w:bCs w:val="0"/>
          <w:sz w:val="24"/>
          <w:szCs w:val="24"/>
        </w:rPr>
        <w:t>,</w:t>
      </w:r>
      <w:r w:rsidRPr="00462F94">
        <w:rPr>
          <w:rStyle w:val="Strong"/>
          <w:rFonts w:ascii="Times New Roman" w:eastAsiaTheme="majorEastAsia" w:hAnsi="Times New Roman" w:cs="Times New Roman"/>
          <w:b w:val="0"/>
          <w:bCs w:val="0"/>
          <w:sz w:val="24"/>
          <w:szCs w:val="24"/>
        </w:rPr>
        <w:t xml:space="preserve"> </w:t>
      </w:r>
      <w:r w:rsidR="00242AE1">
        <w:rPr>
          <w:rStyle w:val="Strong"/>
          <w:rFonts w:ascii="Times New Roman" w:eastAsiaTheme="majorEastAsia" w:hAnsi="Times New Roman" w:cs="Times New Roman"/>
          <w:b w:val="0"/>
          <w:bCs w:val="0"/>
          <w:sz w:val="24"/>
          <w:szCs w:val="24"/>
        </w:rPr>
        <w:t>Vol.</w:t>
      </w:r>
      <w:r w:rsidRPr="00462F94">
        <w:rPr>
          <w:rStyle w:val="Strong"/>
          <w:rFonts w:ascii="Times New Roman" w:eastAsiaTheme="majorEastAsia" w:hAnsi="Times New Roman" w:cs="Times New Roman"/>
          <w:b w:val="0"/>
          <w:bCs w:val="0"/>
          <w:sz w:val="24"/>
          <w:szCs w:val="24"/>
        </w:rPr>
        <w:t xml:space="preserve">41, pp.107-119. </w:t>
      </w:r>
    </w:p>
    <w:p w14:paraId="0140FE7F" w14:textId="55B4EA73" w:rsidR="00C01217" w:rsidRDefault="00C01217" w:rsidP="00242AE1">
      <w:pPr>
        <w:spacing w:line="360" w:lineRule="auto"/>
        <w:contextualSpacing/>
        <w:jc w:val="both"/>
        <w:rPr>
          <w:rFonts w:ascii="Times New Roman" w:hAnsi="Times New Roman" w:cs="Times New Roman"/>
          <w:sz w:val="24"/>
          <w:szCs w:val="24"/>
        </w:rPr>
      </w:pPr>
    </w:p>
    <w:p w14:paraId="189321A9" w14:textId="5F7F08BD" w:rsidR="000B52E9" w:rsidRDefault="000B52E9" w:rsidP="00242AE1">
      <w:pPr>
        <w:spacing w:line="360" w:lineRule="auto"/>
        <w:contextualSpacing/>
        <w:jc w:val="both"/>
        <w:rPr>
          <w:rFonts w:ascii="Times New Roman" w:hAnsi="Times New Roman" w:cs="Times New Roman"/>
          <w:sz w:val="24"/>
          <w:szCs w:val="24"/>
        </w:rPr>
      </w:pPr>
      <w:r w:rsidRPr="00951DB3">
        <w:rPr>
          <w:rFonts w:ascii="Times New Roman" w:hAnsi="Times New Roman" w:cs="Times New Roman"/>
          <w:sz w:val="24"/>
          <w:szCs w:val="24"/>
        </w:rPr>
        <w:t xml:space="preserve">Ellis, D. (1998) Different sides of the same story: Investors and issuers views of rating agencies, </w:t>
      </w:r>
      <w:r w:rsidRPr="00951DB3">
        <w:rPr>
          <w:rFonts w:ascii="Times New Roman" w:hAnsi="Times New Roman" w:cs="Times New Roman"/>
          <w:i/>
          <w:sz w:val="24"/>
          <w:szCs w:val="24"/>
        </w:rPr>
        <w:t>The Journal of Fixed Income,</w:t>
      </w:r>
      <w:r w:rsidRPr="00951DB3">
        <w:rPr>
          <w:rFonts w:ascii="Times New Roman" w:hAnsi="Times New Roman" w:cs="Times New Roman"/>
          <w:sz w:val="24"/>
          <w:szCs w:val="24"/>
        </w:rPr>
        <w:t xml:space="preserve"> Vol.9, pp.35–45.</w:t>
      </w:r>
    </w:p>
    <w:p w14:paraId="471A4424" w14:textId="7BE9DCBF" w:rsidR="000B52E9" w:rsidRDefault="000B52E9" w:rsidP="00242AE1">
      <w:pPr>
        <w:spacing w:line="360" w:lineRule="auto"/>
        <w:contextualSpacing/>
        <w:jc w:val="both"/>
        <w:rPr>
          <w:rFonts w:ascii="Times New Roman" w:hAnsi="Times New Roman" w:cs="Times New Roman"/>
          <w:sz w:val="24"/>
          <w:szCs w:val="24"/>
        </w:rPr>
      </w:pPr>
    </w:p>
    <w:p w14:paraId="55C681D9" w14:textId="3A07ABEC" w:rsidR="00B2442D" w:rsidRDefault="00B2442D" w:rsidP="00242AE1">
      <w:pPr>
        <w:spacing w:line="360" w:lineRule="auto"/>
        <w:contextualSpacing/>
        <w:jc w:val="both"/>
        <w:rPr>
          <w:rFonts w:ascii="Times New Roman" w:hAnsi="Times New Roman" w:cs="Times New Roman"/>
          <w:sz w:val="24"/>
          <w:szCs w:val="24"/>
        </w:rPr>
      </w:pPr>
      <w:r w:rsidRPr="00951DB3">
        <w:rPr>
          <w:rFonts w:ascii="Times New Roman" w:hAnsi="Times New Roman" w:cs="Times New Roman"/>
          <w:sz w:val="24"/>
          <w:szCs w:val="24"/>
        </w:rPr>
        <w:lastRenderedPageBreak/>
        <w:t xml:space="preserve">Hamilton, D., and Cantor, R. (2004) Rating transitions and defaults conditional on watchlist, outlook and rating history, </w:t>
      </w:r>
      <w:r w:rsidRPr="00951DB3">
        <w:rPr>
          <w:rFonts w:ascii="Times New Roman" w:hAnsi="Times New Roman" w:cs="Times New Roman"/>
          <w:i/>
          <w:sz w:val="24"/>
          <w:szCs w:val="24"/>
        </w:rPr>
        <w:t>Moody's Investors Service</w:t>
      </w:r>
      <w:r w:rsidRPr="00951DB3">
        <w:rPr>
          <w:rFonts w:ascii="Times New Roman" w:hAnsi="Times New Roman" w:cs="Times New Roman"/>
          <w:sz w:val="24"/>
          <w:szCs w:val="24"/>
        </w:rPr>
        <w:t>.</w:t>
      </w:r>
    </w:p>
    <w:p w14:paraId="5CB0BB84" w14:textId="02DAEDAC" w:rsidR="00B2442D" w:rsidRDefault="00B2442D" w:rsidP="00242AE1">
      <w:pPr>
        <w:spacing w:line="360" w:lineRule="auto"/>
        <w:contextualSpacing/>
        <w:jc w:val="both"/>
        <w:rPr>
          <w:rFonts w:ascii="Times New Roman" w:hAnsi="Times New Roman" w:cs="Times New Roman"/>
          <w:sz w:val="24"/>
          <w:szCs w:val="24"/>
        </w:rPr>
      </w:pPr>
    </w:p>
    <w:p w14:paraId="620421C3" w14:textId="77777777" w:rsidR="00CD78E1" w:rsidRPr="00BC19EE" w:rsidRDefault="00CD78E1" w:rsidP="00CD78E1">
      <w:pPr>
        <w:spacing w:line="360" w:lineRule="auto"/>
        <w:contextualSpacing/>
        <w:jc w:val="both"/>
        <w:rPr>
          <w:rFonts w:ascii="Times New Roman" w:hAnsi="Times New Roman" w:cs="Times New Roman"/>
          <w:sz w:val="24"/>
          <w:szCs w:val="24"/>
        </w:rPr>
      </w:pPr>
      <w:r w:rsidRPr="00BC19EE">
        <w:rPr>
          <w:rFonts w:ascii="Times New Roman" w:hAnsi="Times New Roman" w:cs="Times New Roman"/>
          <w:sz w:val="24"/>
          <w:szCs w:val="24"/>
        </w:rPr>
        <w:t xml:space="preserve">Kaminsky, G., and </w:t>
      </w:r>
      <w:proofErr w:type="spellStart"/>
      <w:r w:rsidRPr="00BC19EE">
        <w:rPr>
          <w:rFonts w:ascii="Times New Roman" w:hAnsi="Times New Roman" w:cs="Times New Roman"/>
          <w:sz w:val="24"/>
          <w:szCs w:val="24"/>
        </w:rPr>
        <w:t>Schmukler</w:t>
      </w:r>
      <w:proofErr w:type="spellEnd"/>
      <w:r w:rsidRPr="00BC19EE">
        <w:rPr>
          <w:rFonts w:ascii="Times New Roman" w:hAnsi="Times New Roman" w:cs="Times New Roman"/>
          <w:sz w:val="24"/>
          <w:szCs w:val="24"/>
        </w:rPr>
        <w:t xml:space="preserve">, S. (2002) Emerging markets instability: Do sovereign ratings affect country risk and stock returns? </w:t>
      </w:r>
      <w:r w:rsidRPr="00BC19EE">
        <w:rPr>
          <w:rFonts w:ascii="Times New Roman" w:hAnsi="Times New Roman" w:cs="Times New Roman"/>
          <w:i/>
          <w:sz w:val="24"/>
          <w:szCs w:val="24"/>
        </w:rPr>
        <w:t>The World Bank Economic Review</w:t>
      </w:r>
      <w:r w:rsidRPr="00BC19EE">
        <w:rPr>
          <w:rFonts w:ascii="Times New Roman" w:hAnsi="Times New Roman" w:cs="Times New Roman"/>
          <w:sz w:val="24"/>
          <w:szCs w:val="24"/>
        </w:rPr>
        <w:t>, Vol.16, pp.171-195.</w:t>
      </w:r>
    </w:p>
    <w:p w14:paraId="46C83A06" w14:textId="77777777" w:rsidR="00CD78E1" w:rsidRDefault="00CD78E1" w:rsidP="00CD78E1">
      <w:pPr>
        <w:spacing w:line="360" w:lineRule="auto"/>
        <w:contextualSpacing/>
        <w:jc w:val="both"/>
        <w:rPr>
          <w:rFonts w:ascii="Times New Roman" w:hAnsi="Times New Roman" w:cs="Times New Roman"/>
          <w:sz w:val="24"/>
          <w:szCs w:val="24"/>
        </w:rPr>
      </w:pPr>
    </w:p>
    <w:p w14:paraId="53901958" w14:textId="16A4AE87" w:rsidR="00CD78E1" w:rsidRPr="00951DB3" w:rsidRDefault="00CD78E1" w:rsidP="00CD78E1">
      <w:pPr>
        <w:spacing w:line="360" w:lineRule="auto"/>
        <w:contextualSpacing/>
        <w:jc w:val="both"/>
        <w:rPr>
          <w:rFonts w:ascii="Times New Roman" w:hAnsi="Times New Roman" w:cs="Times New Roman"/>
          <w:sz w:val="24"/>
          <w:szCs w:val="24"/>
        </w:rPr>
      </w:pPr>
      <w:r w:rsidRPr="00951DB3">
        <w:rPr>
          <w:rFonts w:ascii="Times New Roman" w:hAnsi="Times New Roman" w:cs="Times New Roman"/>
          <w:sz w:val="24"/>
          <w:szCs w:val="24"/>
        </w:rPr>
        <w:t xml:space="preserve">Livingston, M., Naranjo, A., and Zhou, L. (2008) Split bond ratings and rating migration, </w:t>
      </w:r>
      <w:r w:rsidRPr="00951DB3">
        <w:rPr>
          <w:rFonts w:ascii="Times New Roman" w:hAnsi="Times New Roman" w:cs="Times New Roman"/>
          <w:i/>
          <w:iCs/>
          <w:sz w:val="24"/>
          <w:szCs w:val="24"/>
        </w:rPr>
        <w:t xml:space="preserve">Journal of Banking &amp; Finance, </w:t>
      </w:r>
      <w:r w:rsidRPr="00951DB3">
        <w:rPr>
          <w:rFonts w:ascii="Times New Roman" w:hAnsi="Times New Roman" w:cs="Times New Roman"/>
          <w:sz w:val="24"/>
          <w:szCs w:val="24"/>
        </w:rPr>
        <w:t xml:space="preserve">Vol.32, pp.1613-1624. </w:t>
      </w:r>
    </w:p>
    <w:p w14:paraId="23DCA073" w14:textId="77777777" w:rsidR="00CD78E1" w:rsidRDefault="00CD78E1" w:rsidP="00242AE1">
      <w:pPr>
        <w:spacing w:line="360" w:lineRule="auto"/>
        <w:contextualSpacing/>
        <w:jc w:val="both"/>
        <w:rPr>
          <w:rFonts w:ascii="Times New Roman" w:hAnsi="Times New Roman" w:cs="Times New Roman"/>
          <w:sz w:val="24"/>
          <w:szCs w:val="24"/>
        </w:rPr>
      </w:pPr>
    </w:p>
    <w:p w14:paraId="01F9C2FB" w14:textId="4C4D98F8" w:rsidR="001932F8" w:rsidRDefault="001932F8" w:rsidP="00242AE1">
      <w:pPr>
        <w:spacing w:line="360" w:lineRule="auto"/>
        <w:contextualSpacing/>
        <w:jc w:val="both"/>
        <w:rPr>
          <w:rFonts w:ascii="Times New Roman" w:hAnsi="Times New Roman" w:cs="Times New Roman"/>
          <w:sz w:val="24"/>
          <w:szCs w:val="24"/>
        </w:rPr>
      </w:pPr>
      <w:r w:rsidRPr="00951DB3">
        <w:rPr>
          <w:rFonts w:ascii="Times New Roman" w:eastAsia="Times New Roman" w:hAnsi="Times New Roman" w:cs="Times New Roman"/>
          <w:color w:val="000000"/>
          <w:sz w:val="24"/>
          <w:szCs w:val="24"/>
          <w:lang w:eastAsia="en-GB"/>
        </w:rPr>
        <w:t xml:space="preserve">Livingston, M., Wei, J., and Zhou, L. (2010) Moody's and S&amp;P ratings: Are they Equivalent? Conservative ratings and split rated bond yields, </w:t>
      </w:r>
      <w:r w:rsidRPr="00951DB3">
        <w:rPr>
          <w:rFonts w:ascii="Times New Roman" w:eastAsia="Times New Roman" w:hAnsi="Times New Roman" w:cs="Times New Roman"/>
          <w:i/>
          <w:iCs/>
          <w:color w:val="000000"/>
          <w:sz w:val="24"/>
          <w:szCs w:val="24"/>
          <w:lang w:eastAsia="en-GB"/>
        </w:rPr>
        <w:t xml:space="preserve">Journal of Money, Credit and Banking, </w:t>
      </w:r>
      <w:r w:rsidRPr="00951DB3">
        <w:rPr>
          <w:rFonts w:ascii="Times New Roman" w:eastAsia="Times New Roman" w:hAnsi="Times New Roman" w:cs="Times New Roman"/>
          <w:color w:val="000000"/>
          <w:sz w:val="24"/>
          <w:szCs w:val="24"/>
          <w:lang w:eastAsia="en-GB"/>
        </w:rPr>
        <w:t>Vol.42, pp.1267-1293.</w:t>
      </w:r>
    </w:p>
    <w:p w14:paraId="262749F9" w14:textId="77777777" w:rsidR="001932F8" w:rsidRDefault="001932F8" w:rsidP="00242AE1">
      <w:pPr>
        <w:spacing w:line="360" w:lineRule="auto"/>
        <w:contextualSpacing/>
        <w:jc w:val="both"/>
        <w:rPr>
          <w:rFonts w:ascii="Times New Roman" w:hAnsi="Times New Roman" w:cs="Times New Roman"/>
          <w:sz w:val="24"/>
          <w:szCs w:val="24"/>
        </w:rPr>
      </w:pPr>
    </w:p>
    <w:p w14:paraId="06560203" w14:textId="77777777" w:rsidR="00242AE1" w:rsidRPr="003F7745" w:rsidRDefault="00242AE1" w:rsidP="00242AE1">
      <w:pPr>
        <w:spacing w:line="360" w:lineRule="auto"/>
        <w:contextualSpacing/>
        <w:jc w:val="both"/>
        <w:rPr>
          <w:rFonts w:ascii="Times New Roman" w:hAnsi="Times New Roman" w:cs="Times New Roman"/>
          <w:sz w:val="24"/>
          <w:szCs w:val="24"/>
        </w:rPr>
      </w:pPr>
      <w:r w:rsidRPr="00951DB3">
        <w:rPr>
          <w:rFonts w:ascii="Times New Roman" w:hAnsi="Times New Roman" w:cs="Times New Roman"/>
          <w:sz w:val="24"/>
          <w:szCs w:val="24"/>
        </w:rPr>
        <w:t xml:space="preserve">Morgan, D.P. (2002) Rating banks: risk and uncertainty in an opaque industry, </w:t>
      </w:r>
      <w:r w:rsidRPr="00951DB3">
        <w:rPr>
          <w:rFonts w:ascii="Times New Roman" w:hAnsi="Times New Roman" w:cs="Times New Roman"/>
          <w:i/>
          <w:sz w:val="24"/>
          <w:szCs w:val="24"/>
        </w:rPr>
        <w:t xml:space="preserve">The American </w:t>
      </w:r>
      <w:r w:rsidRPr="003F7745">
        <w:rPr>
          <w:rFonts w:ascii="Times New Roman" w:hAnsi="Times New Roman" w:cs="Times New Roman"/>
          <w:i/>
          <w:sz w:val="24"/>
          <w:szCs w:val="24"/>
        </w:rPr>
        <w:t>Economic Review</w:t>
      </w:r>
      <w:r w:rsidRPr="003F7745">
        <w:rPr>
          <w:rFonts w:ascii="Times New Roman" w:hAnsi="Times New Roman" w:cs="Times New Roman"/>
          <w:sz w:val="24"/>
          <w:szCs w:val="24"/>
        </w:rPr>
        <w:t>, Vol.92, pp.874-888.</w:t>
      </w:r>
    </w:p>
    <w:p w14:paraId="23E3E241" w14:textId="786BA636" w:rsidR="00C01217" w:rsidRDefault="00C01217" w:rsidP="00242AE1">
      <w:pPr>
        <w:spacing w:line="360" w:lineRule="auto"/>
        <w:contextualSpacing/>
        <w:jc w:val="both"/>
        <w:rPr>
          <w:rFonts w:ascii="Times New Roman" w:hAnsi="Times New Roman" w:cs="Times New Roman"/>
          <w:sz w:val="24"/>
          <w:szCs w:val="24"/>
        </w:rPr>
      </w:pPr>
    </w:p>
    <w:p w14:paraId="54D45436" w14:textId="70AF795A" w:rsidR="00C01217" w:rsidRDefault="00C01217" w:rsidP="00242AE1">
      <w:pPr>
        <w:spacing w:line="360" w:lineRule="auto"/>
        <w:contextualSpacing/>
        <w:jc w:val="both"/>
        <w:rPr>
          <w:rFonts w:ascii="Times New Roman" w:hAnsi="Times New Roman" w:cs="Times New Roman"/>
          <w:sz w:val="24"/>
          <w:szCs w:val="24"/>
        </w:rPr>
      </w:pPr>
    </w:p>
    <w:p w14:paraId="16CF5474" w14:textId="2AE7A934" w:rsidR="00C01217" w:rsidRDefault="00C01217" w:rsidP="00242AE1">
      <w:pPr>
        <w:spacing w:line="360" w:lineRule="auto"/>
        <w:contextualSpacing/>
        <w:jc w:val="both"/>
        <w:rPr>
          <w:rFonts w:ascii="Times New Roman" w:hAnsi="Times New Roman" w:cs="Times New Roman"/>
          <w:sz w:val="24"/>
          <w:szCs w:val="24"/>
        </w:rPr>
      </w:pPr>
    </w:p>
    <w:p w14:paraId="1452F92C" w14:textId="4E2DD930" w:rsidR="00C01217" w:rsidRDefault="00C01217" w:rsidP="00242AE1">
      <w:pPr>
        <w:spacing w:line="360" w:lineRule="auto"/>
        <w:contextualSpacing/>
        <w:jc w:val="both"/>
        <w:rPr>
          <w:rFonts w:ascii="Times New Roman" w:hAnsi="Times New Roman" w:cs="Times New Roman"/>
          <w:sz w:val="24"/>
          <w:szCs w:val="24"/>
        </w:rPr>
      </w:pPr>
    </w:p>
    <w:p w14:paraId="4FF1D5DC" w14:textId="0BA64772" w:rsidR="00C01217" w:rsidRDefault="00C01217" w:rsidP="00242AE1">
      <w:pPr>
        <w:spacing w:line="360" w:lineRule="auto"/>
        <w:contextualSpacing/>
        <w:jc w:val="both"/>
        <w:rPr>
          <w:rFonts w:ascii="Times New Roman" w:hAnsi="Times New Roman" w:cs="Times New Roman"/>
          <w:sz w:val="24"/>
          <w:szCs w:val="24"/>
        </w:rPr>
      </w:pPr>
    </w:p>
    <w:p w14:paraId="050F90D2" w14:textId="413388CD" w:rsidR="00C01217" w:rsidRDefault="00C01217" w:rsidP="00242AE1">
      <w:pPr>
        <w:spacing w:line="360" w:lineRule="auto"/>
        <w:contextualSpacing/>
        <w:jc w:val="both"/>
        <w:rPr>
          <w:rFonts w:ascii="Times New Roman" w:hAnsi="Times New Roman" w:cs="Times New Roman"/>
          <w:sz w:val="24"/>
          <w:szCs w:val="24"/>
        </w:rPr>
      </w:pPr>
    </w:p>
    <w:p w14:paraId="7114095F" w14:textId="28B866BE" w:rsidR="00C01217" w:rsidRDefault="00C01217" w:rsidP="00242AE1">
      <w:pPr>
        <w:spacing w:line="360" w:lineRule="auto"/>
        <w:contextualSpacing/>
        <w:jc w:val="both"/>
        <w:rPr>
          <w:rFonts w:ascii="Times New Roman" w:hAnsi="Times New Roman" w:cs="Times New Roman"/>
          <w:sz w:val="24"/>
          <w:szCs w:val="24"/>
        </w:rPr>
      </w:pPr>
    </w:p>
    <w:p w14:paraId="454A49C9" w14:textId="4DFD77CA" w:rsidR="00C01217" w:rsidRDefault="00C01217" w:rsidP="00242AE1">
      <w:pPr>
        <w:spacing w:line="360" w:lineRule="auto"/>
        <w:contextualSpacing/>
        <w:jc w:val="both"/>
        <w:rPr>
          <w:rFonts w:ascii="Times New Roman" w:hAnsi="Times New Roman" w:cs="Times New Roman"/>
          <w:sz w:val="24"/>
          <w:szCs w:val="24"/>
        </w:rPr>
      </w:pPr>
    </w:p>
    <w:p w14:paraId="0FE95D13" w14:textId="06A44978" w:rsidR="00C01217" w:rsidRDefault="00C01217" w:rsidP="00242AE1">
      <w:pPr>
        <w:spacing w:line="360" w:lineRule="auto"/>
        <w:contextualSpacing/>
        <w:jc w:val="both"/>
        <w:rPr>
          <w:rFonts w:ascii="Times New Roman" w:hAnsi="Times New Roman" w:cs="Times New Roman"/>
          <w:sz w:val="24"/>
          <w:szCs w:val="24"/>
        </w:rPr>
      </w:pPr>
    </w:p>
    <w:p w14:paraId="67A33079" w14:textId="7A876E6A" w:rsidR="00C01217" w:rsidRDefault="00C01217" w:rsidP="00242AE1">
      <w:pPr>
        <w:spacing w:line="360" w:lineRule="auto"/>
        <w:contextualSpacing/>
        <w:jc w:val="both"/>
        <w:rPr>
          <w:rFonts w:ascii="Times New Roman" w:hAnsi="Times New Roman" w:cs="Times New Roman"/>
          <w:sz w:val="24"/>
          <w:szCs w:val="24"/>
        </w:rPr>
      </w:pPr>
    </w:p>
    <w:p w14:paraId="38A3DE41" w14:textId="0192464C" w:rsidR="00C01217" w:rsidRDefault="00C01217" w:rsidP="00242AE1">
      <w:pPr>
        <w:spacing w:line="360" w:lineRule="auto"/>
        <w:contextualSpacing/>
        <w:jc w:val="both"/>
        <w:rPr>
          <w:rFonts w:ascii="Times New Roman" w:hAnsi="Times New Roman" w:cs="Times New Roman"/>
          <w:sz w:val="24"/>
          <w:szCs w:val="24"/>
        </w:rPr>
      </w:pPr>
    </w:p>
    <w:p w14:paraId="639F8D8D" w14:textId="7B06400C" w:rsidR="00C01217" w:rsidRDefault="00C01217" w:rsidP="00242AE1">
      <w:pPr>
        <w:spacing w:line="360" w:lineRule="auto"/>
        <w:contextualSpacing/>
        <w:jc w:val="both"/>
        <w:rPr>
          <w:rFonts w:ascii="Times New Roman" w:hAnsi="Times New Roman" w:cs="Times New Roman"/>
          <w:sz w:val="24"/>
          <w:szCs w:val="24"/>
        </w:rPr>
      </w:pPr>
    </w:p>
    <w:p w14:paraId="39D41242" w14:textId="17CD383C" w:rsidR="00C01217" w:rsidRDefault="00C01217" w:rsidP="00242AE1">
      <w:pPr>
        <w:spacing w:line="360" w:lineRule="auto"/>
        <w:contextualSpacing/>
        <w:jc w:val="both"/>
        <w:rPr>
          <w:rFonts w:ascii="Times New Roman" w:hAnsi="Times New Roman" w:cs="Times New Roman"/>
          <w:sz w:val="24"/>
          <w:szCs w:val="24"/>
        </w:rPr>
      </w:pPr>
    </w:p>
    <w:p w14:paraId="36F30980" w14:textId="24C033B7" w:rsidR="00C01217" w:rsidRDefault="00C01217" w:rsidP="00242AE1">
      <w:pPr>
        <w:spacing w:line="360" w:lineRule="auto"/>
        <w:contextualSpacing/>
        <w:jc w:val="both"/>
        <w:rPr>
          <w:rFonts w:ascii="Times New Roman" w:hAnsi="Times New Roman" w:cs="Times New Roman"/>
          <w:sz w:val="24"/>
          <w:szCs w:val="24"/>
        </w:rPr>
      </w:pPr>
    </w:p>
    <w:p w14:paraId="7C8CC081" w14:textId="3EC20A93" w:rsidR="00C01217" w:rsidRDefault="00C01217" w:rsidP="00242AE1">
      <w:pPr>
        <w:spacing w:line="360" w:lineRule="auto"/>
        <w:contextualSpacing/>
        <w:jc w:val="both"/>
        <w:rPr>
          <w:rFonts w:ascii="Times New Roman" w:hAnsi="Times New Roman" w:cs="Times New Roman"/>
          <w:sz w:val="24"/>
          <w:szCs w:val="24"/>
        </w:rPr>
      </w:pPr>
    </w:p>
    <w:p w14:paraId="351C9107" w14:textId="23F49B67" w:rsidR="00C01217" w:rsidRDefault="00C01217" w:rsidP="00242AE1">
      <w:pPr>
        <w:spacing w:line="360" w:lineRule="auto"/>
        <w:contextualSpacing/>
        <w:jc w:val="both"/>
        <w:rPr>
          <w:rFonts w:ascii="Times New Roman" w:hAnsi="Times New Roman" w:cs="Times New Roman"/>
          <w:sz w:val="24"/>
          <w:szCs w:val="24"/>
        </w:rPr>
      </w:pPr>
    </w:p>
    <w:p w14:paraId="79FA7A6F" w14:textId="1937E11F" w:rsidR="00C01217" w:rsidRDefault="00C01217" w:rsidP="00242AE1">
      <w:pPr>
        <w:spacing w:line="360" w:lineRule="auto"/>
        <w:contextualSpacing/>
        <w:jc w:val="both"/>
        <w:rPr>
          <w:rFonts w:ascii="Times New Roman" w:hAnsi="Times New Roman" w:cs="Times New Roman"/>
          <w:sz w:val="24"/>
          <w:szCs w:val="24"/>
        </w:rPr>
      </w:pPr>
    </w:p>
    <w:p w14:paraId="0FC43237" w14:textId="74C7142F" w:rsidR="00C01217" w:rsidRDefault="00C01217" w:rsidP="00242AE1">
      <w:pPr>
        <w:spacing w:line="360" w:lineRule="auto"/>
        <w:contextualSpacing/>
        <w:jc w:val="both"/>
        <w:rPr>
          <w:rFonts w:ascii="Times New Roman" w:hAnsi="Times New Roman" w:cs="Times New Roman"/>
          <w:sz w:val="24"/>
          <w:szCs w:val="24"/>
        </w:rPr>
      </w:pPr>
    </w:p>
    <w:p w14:paraId="145E55B9" w14:textId="020B5D6C" w:rsidR="00C01217" w:rsidRDefault="00C01217" w:rsidP="00242AE1">
      <w:pPr>
        <w:spacing w:line="360" w:lineRule="auto"/>
        <w:contextualSpacing/>
        <w:jc w:val="both"/>
        <w:rPr>
          <w:rFonts w:ascii="Times New Roman" w:hAnsi="Times New Roman" w:cs="Times New Roman"/>
          <w:sz w:val="24"/>
          <w:szCs w:val="24"/>
        </w:rPr>
      </w:pPr>
    </w:p>
    <w:p w14:paraId="090BA917" w14:textId="1F629B52" w:rsidR="00C01217" w:rsidRDefault="00C01217" w:rsidP="00242AE1">
      <w:pPr>
        <w:spacing w:line="360" w:lineRule="auto"/>
        <w:contextualSpacing/>
        <w:jc w:val="both"/>
        <w:rPr>
          <w:rFonts w:ascii="Times New Roman" w:hAnsi="Times New Roman" w:cs="Times New Roman"/>
          <w:sz w:val="24"/>
          <w:szCs w:val="24"/>
        </w:rPr>
      </w:pPr>
    </w:p>
    <w:p w14:paraId="6ABA805D" w14:textId="77777777" w:rsidR="00E04964" w:rsidRDefault="00E04964" w:rsidP="00242AE1">
      <w:pPr>
        <w:spacing w:line="360" w:lineRule="auto"/>
        <w:contextualSpacing/>
        <w:jc w:val="both"/>
      </w:pPr>
    </w:p>
    <w:sectPr w:rsidR="00E049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AB24" w14:textId="77777777" w:rsidR="00721AD6" w:rsidRDefault="00721AD6" w:rsidP="00721AD6">
      <w:pPr>
        <w:spacing w:after="0" w:line="240" w:lineRule="auto"/>
      </w:pPr>
      <w:r>
        <w:separator/>
      </w:r>
    </w:p>
  </w:endnote>
  <w:endnote w:type="continuationSeparator" w:id="0">
    <w:p w14:paraId="05E03FDE" w14:textId="77777777" w:rsidR="00721AD6" w:rsidRDefault="00721AD6" w:rsidP="0072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6E6C" w14:textId="77777777" w:rsidR="00721AD6" w:rsidRDefault="00721AD6" w:rsidP="00721AD6">
      <w:pPr>
        <w:spacing w:after="0" w:line="240" w:lineRule="auto"/>
      </w:pPr>
      <w:r>
        <w:separator/>
      </w:r>
    </w:p>
  </w:footnote>
  <w:footnote w:type="continuationSeparator" w:id="0">
    <w:p w14:paraId="5CB04BB5" w14:textId="77777777" w:rsidR="00721AD6" w:rsidRDefault="00721AD6" w:rsidP="00721AD6">
      <w:pPr>
        <w:spacing w:after="0" w:line="240" w:lineRule="auto"/>
      </w:pPr>
      <w:r>
        <w:continuationSeparator/>
      </w:r>
    </w:p>
  </w:footnote>
  <w:footnote w:id="1">
    <w:p w14:paraId="2D5BAFD4" w14:textId="77777777" w:rsidR="008B29F7" w:rsidRPr="0010435A" w:rsidRDefault="008B29F7" w:rsidP="008B29F7">
      <w:pPr>
        <w:pStyle w:val="FootnoteText"/>
        <w:rPr>
          <w:rFonts w:ascii="Times New Roman" w:hAnsi="Times New Roman" w:cs="Times New Roman"/>
        </w:rPr>
      </w:pPr>
      <w:r w:rsidRPr="0010435A">
        <w:rPr>
          <w:rStyle w:val="FootnoteReference"/>
          <w:rFonts w:ascii="Times New Roman" w:hAnsi="Times New Roman" w:cs="Times New Roman"/>
        </w:rPr>
        <w:footnoteRef/>
      </w:r>
      <w:r>
        <w:rPr>
          <w:rFonts w:ascii="Times New Roman" w:hAnsi="Times New Roman" w:cs="Times New Roman"/>
        </w:rPr>
        <w:t xml:space="preserve"> Time windows are 360 days prior to this initial announcement or rating change.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35E4"/>
    <w:multiLevelType w:val="hybridMultilevel"/>
    <w:tmpl w:val="64B2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50DE7"/>
    <w:multiLevelType w:val="hybridMultilevel"/>
    <w:tmpl w:val="8A2AE0C8"/>
    <w:lvl w:ilvl="0" w:tplc="F5AC66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823063">
    <w:abstractNumId w:val="0"/>
  </w:num>
  <w:num w:numId="2" w16cid:durableId="190028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4B"/>
    <w:rsid w:val="00051FE5"/>
    <w:rsid w:val="000B52E9"/>
    <w:rsid w:val="001932F8"/>
    <w:rsid w:val="00242AE1"/>
    <w:rsid w:val="00267B6A"/>
    <w:rsid w:val="002E3F93"/>
    <w:rsid w:val="002F51FC"/>
    <w:rsid w:val="0035182F"/>
    <w:rsid w:val="003A66EC"/>
    <w:rsid w:val="003F353D"/>
    <w:rsid w:val="00462F94"/>
    <w:rsid w:val="004752B2"/>
    <w:rsid w:val="004E470C"/>
    <w:rsid w:val="00511849"/>
    <w:rsid w:val="005159BE"/>
    <w:rsid w:val="00607832"/>
    <w:rsid w:val="006538B7"/>
    <w:rsid w:val="0068089A"/>
    <w:rsid w:val="006D11D6"/>
    <w:rsid w:val="00721AD6"/>
    <w:rsid w:val="00775F97"/>
    <w:rsid w:val="008B29F7"/>
    <w:rsid w:val="00A34B17"/>
    <w:rsid w:val="00A34F4B"/>
    <w:rsid w:val="00A3550E"/>
    <w:rsid w:val="00AE07FB"/>
    <w:rsid w:val="00B2442D"/>
    <w:rsid w:val="00B76A5D"/>
    <w:rsid w:val="00C01217"/>
    <w:rsid w:val="00CD78E1"/>
    <w:rsid w:val="00D2442C"/>
    <w:rsid w:val="00E04964"/>
    <w:rsid w:val="00E7425D"/>
    <w:rsid w:val="00E83A06"/>
    <w:rsid w:val="00E86941"/>
    <w:rsid w:val="00FC2AB9"/>
    <w:rsid w:val="00FD1D16"/>
    <w:rsid w:val="00FD630F"/>
    <w:rsid w:val="00FF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0E8"/>
  <w15:chartTrackingRefBased/>
  <w15:docId w15:val="{4A2FF8B9-4F8A-48EA-A94E-D603FD6E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1217"/>
    <w:rPr>
      <w:i/>
      <w:iCs/>
    </w:rPr>
  </w:style>
  <w:style w:type="paragraph" w:styleId="ListParagraph">
    <w:name w:val="List Paragraph"/>
    <w:basedOn w:val="Normal"/>
    <w:uiPriority w:val="34"/>
    <w:qFormat/>
    <w:rsid w:val="00462F94"/>
    <w:pPr>
      <w:ind w:left="720"/>
      <w:contextualSpacing/>
    </w:pPr>
  </w:style>
  <w:style w:type="character" w:styleId="Strong">
    <w:name w:val="Strong"/>
    <w:basedOn w:val="DefaultParagraphFont"/>
    <w:qFormat/>
    <w:rsid w:val="00462F94"/>
    <w:rPr>
      <w:b/>
      <w:bCs/>
    </w:rPr>
  </w:style>
  <w:style w:type="character" w:styleId="Hyperlink">
    <w:name w:val="Hyperlink"/>
    <w:basedOn w:val="DefaultParagraphFont"/>
    <w:uiPriority w:val="99"/>
    <w:unhideWhenUsed/>
    <w:rsid w:val="005159BE"/>
    <w:rPr>
      <w:color w:val="0563C1" w:themeColor="hyperlink"/>
      <w:u w:val="single"/>
    </w:rPr>
  </w:style>
  <w:style w:type="character" w:styleId="UnresolvedMention">
    <w:name w:val="Unresolved Mention"/>
    <w:basedOn w:val="DefaultParagraphFont"/>
    <w:uiPriority w:val="99"/>
    <w:semiHidden/>
    <w:unhideWhenUsed/>
    <w:rsid w:val="005159BE"/>
    <w:rPr>
      <w:color w:val="605E5C"/>
      <w:shd w:val="clear" w:color="auto" w:fill="E1DFDD"/>
    </w:rPr>
  </w:style>
  <w:style w:type="paragraph" w:styleId="FootnoteText">
    <w:name w:val="footnote text"/>
    <w:basedOn w:val="Normal"/>
    <w:link w:val="FootnoteTextChar"/>
    <w:uiPriority w:val="99"/>
    <w:semiHidden/>
    <w:unhideWhenUsed/>
    <w:rsid w:val="00721AD6"/>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721AD6"/>
    <w:rPr>
      <w:rFonts w:eastAsiaTheme="minorEastAsia"/>
      <w:sz w:val="20"/>
      <w:szCs w:val="20"/>
      <w:lang w:eastAsia="ja-JP"/>
    </w:rPr>
  </w:style>
  <w:style w:type="character" w:styleId="FootnoteReference">
    <w:name w:val="footnote reference"/>
    <w:basedOn w:val="DefaultParagraphFont"/>
    <w:uiPriority w:val="99"/>
    <w:semiHidden/>
    <w:unhideWhenUsed/>
    <w:rsid w:val="00721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Surraya</dc:creator>
  <cp:keywords/>
  <dc:description/>
  <cp:lastModifiedBy>Rowe, Surraya</cp:lastModifiedBy>
  <cp:revision>3</cp:revision>
  <dcterms:created xsi:type="dcterms:W3CDTF">2023-01-04T13:14:00Z</dcterms:created>
  <dcterms:modified xsi:type="dcterms:W3CDTF">2023-01-04T13:18:00Z</dcterms:modified>
</cp:coreProperties>
</file>