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183D" w14:textId="77777777" w:rsidR="00DB66D3" w:rsidRPr="00A735F5" w:rsidRDefault="00DB66D3" w:rsidP="00DB66D3">
      <w:pPr>
        <w:spacing w:line="360" w:lineRule="auto"/>
        <w:jc w:val="both"/>
        <w:outlineLvl w:val="0"/>
        <w:rPr>
          <w:rFonts w:asciiTheme="minorHAnsi" w:hAnsiTheme="minorHAnsi" w:cstheme="minorHAnsi"/>
          <w:b/>
          <w:szCs w:val="24"/>
        </w:rPr>
      </w:pPr>
      <w:r w:rsidRPr="00A735F5">
        <w:rPr>
          <w:rFonts w:asciiTheme="minorHAnsi" w:hAnsiTheme="minorHAnsi" w:cstheme="minorHAnsi"/>
          <w:b/>
          <w:szCs w:val="24"/>
        </w:rPr>
        <w:t xml:space="preserve">Developing </w:t>
      </w:r>
      <w:r>
        <w:rPr>
          <w:rFonts w:asciiTheme="minorHAnsi" w:hAnsiTheme="minorHAnsi" w:cstheme="minorHAnsi"/>
          <w:b/>
          <w:szCs w:val="24"/>
        </w:rPr>
        <w:t xml:space="preserve">regional Circular Economy </w:t>
      </w:r>
      <w:r w:rsidRPr="00A735F5">
        <w:rPr>
          <w:rFonts w:asciiTheme="minorHAnsi" w:hAnsiTheme="minorHAnsi" w:cstheme="minorHAnsi"/>
          <w:b/>
          <w:szCs w:val="24"/>
        </w:rPr>
        <w:t>innovation capabilit</w:t>
      </w:r>
      <w:r>
        <w:rPr>
          <w:rFonts w:asciiTheme="minorHAnsi" w:hAnsiTheme="minorHAnsi" w:cstheme="minorHAnsi"/>
          <w:b/>
          <w:szCs w:val="24"/>
        </w:rPr>
        <w:t>y</w:t>
      </w:r>
      <w:r w:rsidRPr="00A735F5">
        <w:rPr>
          <w:rFonts w:asciiTheme="minorHAnsi" w:hAnsiTheme="minorHAnsi" w:cstheme="minorHAnsi"/>
          <w:b/>
          <w:szCs w:val="24"/>
        </w:rPr>
        <w:t>: A</w:t>
      </w:r>
      <w:r>
        <w:rPr>
          <w:rFonts w:asciiTheme="minorHAnsi" w:hAnsiTheme="minorHAnsi" w:cstheme="minorHAnsi"/>
          <w:b/>
          <w:szCs w:val="24"/>
        </w:rPr>
        <w:t xml:space="preserve"> programme Community of Practice </w:t>
      </w:r>
      <w:r w:rsidRPr="00A735F5">
        <w:rPr>
          <w:rFonts w:asciiTheme="minorHAnsi" w:hAnsiTheme="minorHAnsi" w:cstheme="minorHAnsi"/>
          <w:b/>
          <w:szCs w:val="24"/>
        </w:rPr>
        <w:t>approach.</w:t>
      </w:r>
    </w:p>
    <w:p w14:paraId="6553EE83" w14:textId="77777777" w:rsidR="000E4D6A" w:rsidRPr="00A735F5" w:rsidRDefault="000E4D6A" w:rsidP="00AB138E">
      <w:pPr>
        <w:spacing w:line="360" w:lineRule="auto"/>
        <w:jc w:val="both"/>
        <w:outlineLvl w:val="0"/>
        <w:rPr>
          <w:rFonts w:asciiTheme="minorHAnsi" w:hAnsiTheme="minorHAnsi" w:cstheme="minorHAnsi"/>
          <w:b/>
          <w:szCs w:val="24"/>
        </w:rPr>
      </w:pPr>
    </w:p>
    <w:p w14:paraId="5FF20702" w14:textId="77777777" w:rsidR="000E4D6A" w:rsidRPr="00A735F5" w:rsidRDefault="000E4D6A" w:rsidP="00AB138E">
      <w:pPr>
        <w:spacing w:line="360" w:lineRule="auto"/>
        <w:jc w:val="both"/>
        <w:outlineLvl w:val="0"/>
        <w:rPr>
          <w:rFonts w:asciiTheme="minorHAnsi" w:hAnsiTheme="minorHAnsi" w:cstheme="minorHAnsi"/>
          <w:b/>
          <w:szCs w:val="24"/>
        </w:rPr>
      </w:pPr>
    </w:p>
    <w:p w14:paraId="770D0779" w14:textId="7015F1B5" w:rsidR="00967CF7" w:rsidRPr="00A735F5" w:rsidRDefault="00967CF7" w:rsidP="00AB138E">
      <w:pPr>
        <w:spacing w:after="60" w:line="360" w:lineRule="auto"/>
        <w:rPr>
          <w:rFonts w:asciiTheme="minorHAnsi" w:eastAsiaTheme="minorEastAsia" w:hAnsiTheme="minorHAnsi" w:cstheme="minorHAnsi"/>
          <w:noProof/>
          <w:szCs w:val="24"/>
          <w:lang w:eastAsia="en-GB"/>
        </w:rPr>
      </w:pPr>
      <w:r w:rsidRPr="00A735F5">
        <w:rPr>
          <w:rFonts w:asciiTheme="minorHAnsi" w:eastAsiaTheme="minorEastAsia" w:hAnsiTheme="minorHAnsi" w:cstheme="minorHAnsi"/>
          <w:noProof/>
          <w:szCs w:val="24"/>
          <w:lang w:eastAsia="en-GB"/>
        </w:rPr>
        <w:t>Gary Walpole</w:t>
      </w:r>
      <w:r w:rsidR="00DB66D3">
        <w:rPr>
          <w:rFonts w:asciiTheme="minorHAnsi" w:eastAsiaTheme="minorEastAsia" w:hAnsiTheme="minorHAnsi" w:cstheme="minorHAnsi"/>
          <w:noProof/>
          <w:szCs w:val="24"/>
          <w:lang w:eastAsia="en-GB"/>
        </w:rPr>
        <w:t>, Katie Beverly &amp; Sue Smith</w:t>
      </w:r>
    </w:p>
    <w:p w14:paraId="49E4A597" w14:textId="2AABF897" w:rsidR="00967CF7" w:rsidRPr="00A735F5" w:rsidRDefault="00967CF7" w:rsidP="00AB138E">
      <w:pPr>
        <w:spacing w:after="60" w:line="360" w:lineRule="auto"/>
        <w:rPr>
          <w:rFonts w:asciiTheme="minorHAnsi" w:eastAsiaTheme="minorEastAsia" w:hAnsiTheme="minorHAnsi" w:cstheme="minorHAnsi"/>
          <w:noProof/>
          <w:szCs w:val="24"/>
          <w:lang w:eastAsia="en-GB"/>
        </w:rPr>
      </w:pPr>
      <w:r w:rsidRPr="00A735F5">
        <w:rPr>
          <w:rFonts w:asciiTheme="minorHAnsi" w:eastAsiaTheme="minorEastAsia" w:hAnsiTheme="minorHAnsi" w:cstheme="minorHAnsi"/>
          <w:noProof/>
          <w:szCs w:val="24"/>
          <w:lang w:eastAsia="en-GB"/>
        </w:rPr>
        <w:t xml:space="preserve">Director, </w:t>
      </w:r>
      <w:r w:rsidR="00EC0113" w:rsidRPr="00A735F5">
        <w:rPr>
          <w:rFonts w:asciiTheme="minorHAnsi" w:eastAsiaTheme="minorEastAsia" w:hAnsiTheme="minorHAnsi" w:cstheme="minorHAnsi"/>
          <w:noProof/>
          <w:szCs w:val="24"/>
          <w:lang w:eastAsia="en-GB"/>
        </w:rPr>
        <w:t xml:space="preserve">CEIC Wales </w:t>
      </w:r>
      <w:r w:rsidRPr="00A735F5">
        <w:rPr>
          <w:rFonts w:asciiTheme="minorHAnsi" w:eastAsiaTheme="minorEastAsia" w:hAnsiTheme="minorHAnsi" w:cstheme="minorHAnsi"/>
          <w:noProof/>
          <w:szCs w:val="24"/>
          <w:lang w:eastAsia="en-GB"/>
        </w:rPr>
        <w:t xml:space="preserve">&amp; </w:t>
      </w:r>
      <w:r w:rsidR="00EC0113" w:rsidRPr="00A735F5">
        <w:rPr>
          <w:rFonts w:asciiTheme="minorHAnsi" w:eastAsiaTheme="minorEastAsia" w:hAnsiTheme="minorHAnsi" w:cstheme="minorHAnsi"/>
          <w:noProof/>
          <w:szCs w:val="24"/>
          <w:lang w:eastAsia="en-GB"/>
        </w:rPr>
        <w:t>Principal L</w:t>
      </w:r>
      <w:r w:rsidRPr="00A735F5">
        <w:rPr>
          <w:rFonts w:asciiTheme="minorHAnsi" w:eastAsiaTheme="minorEastAsia" w:hAnsiTheme="minorHAnsi" w:cstheme="minorHAnsi"/>
          <w:noProof/>
          <w:szCs w:val="24"/>
          <w:lang w:eastAsia="en-GB"/>
        </w:rPr>
        <w:t>ecturer</w:t>
      </w:r>
    </w:p>
    <w:p w14:paraId="2B0CBFDA" w14:textId="24402284" w:rsidR="00967CF7" w:rsidRPr="00A735F5" w:rsidRDefault="00967CF7" w:rsidP="00AB138E">
      <w:pPr>
        <w:spacing w:after="60" w:line="360" w:lineRule="auto"/>
        <w:rPr>
          <w:rFonts w:asciiTheme="minorHAnsi" w:eastAsiaTheme="minorEastAsia" w:hAnsiTheme="minorHAnsi" w:cstheme="minorHAnsi"/>
          <w:noProof/>
          <w:szCs w:val="24"/>
          <w:lang w:eastAsia="en-GB"/>
        </w:rPr>
      </w:pPr>
      <w:r w:rsidRPr="00A735F5">
        <w:rPr>
          <w:rFonts w:asciiTheme="minorHAnsi" w:eastAsiaTheme="minorEastAsia" w:hAnsiTheme="minorHAnsi" w:cstheme="minorHAnsi"/>
          <w:noProof/>
          <w:szCs w:val="24"/>
          <w:lang w:eastAsia="en-GB"/>
        </w:rPr>
        <w:t xml:space="preserve">School of Management </w:t>
      </w:r>
    </w:p>
    <w:p w14:paraId="2328D4B4" w14:textId="12E0E475" w:rsidR="00967CF7" w:rsidRPr="00A735F5" w:rsidRDefault="00EC0113" w:rsidP="00AB138E">
      <w:pPr>
        <w:spacing w:after="60" w:line="360" w:lineRule="auto"/>
        <w:rPr>
          <w:rFonts w:asciiTheme="minorHAnsi" w:eastAsiaTheme="minorEastAsia" w:hAnsiTheme="minorHAnsi" w:cstheme="minorHAnsi"/>
          <w:noProof/>
          <w:szCs w:val="24"/>
          <w:lang w:eastAsia="en-GB"/>
        </w:rPr>
      </w:pPr>
      <w:r w:rsidRPr="00A735F5">
        <w:rPr>
          <w:rFonts w:asciiTheme="minorHAnsi" w:eastAsiaTheme="minorEastAsia" w:hAnsiTheme="minorHAnsi" w:cstheme="minorHAnsi"/>
          <w:noProof/>
          <w:szCs w:val="24"/>
          <w:lang w:eastAsia="en-GB"/>
        </w:rPr>
        <w:t xml:space="preserve">Cardiff Met </w:t>
      </w:r>
      <w:r w:rsidR="00967CF7" w:rsidRPr="00A735F5">
        <w:rPr>
          <w:rFonts w:asciiTheme="minorHAnsi" w:eastAsiaTheme="minorEastAsia" w:hAnsiTheme="minorHAnsi" w:cstheme="minorHAnsi"/>
          <w:noProof/>
          <w:szCs w:val="24"/>
          <w:lang w:eastAsia="en-GB"/>
        </w:rPr>
        <w:t xml:space="preserve"> </w:t>
      </w:r>
    </w:p>
    <w:p w14:paraId="4D01A926" w14:textId="0377E814" w:rsidR="00967CF7" w:rsidRPr="00A735F5" w:rsidRDefault="00983DBD" w:rsidP="00AB138E">
      <w:pPr>
        <w:spacing w:after="60" w:line="360" w:lineRule="auto"/>
        <w:rPr>
          <w:rFonts w:asciiTheme="minorHAnsi" w:eastAsiaTheme="minorEastAsia" w:hAnsiTheme="minorHAnsi" w:cstheme="minorHAnsi"/>
          <w:noProof/>
          <w:szCs w:val="24"/>
          <w:lang w:eastAsia="en-GB"/>
        </w:rPr>
      </w:pPr>
      <w:hyperlink r:id="rId5" w:history="1">
        <w:r w:rsidR="00C52F11" w:rsidRPr="00A735F5">
          <w:rPr>
            <w:rStyle w:val="Hyperlink"/>
            <w:rFonts w:asciiTheme="minorHAnsi" w:eastAsiaTheme="minorEastAsia" w:hAnsiTheme="minorHAnsi" w:cstheme="minorHAnsi"/>
            <w:noProof/>
            <w:szCs w:val="24"/>
            <w:lang w:eastAsia="en-GB"/>
          </w:rPr>
          <w:t>gwalpole@cardiffmet.ac.uk</w:t>
        </w:r>
      </w:hyperlink>
    </w:p>
    <w:p w14:paraId="799F2FB6" w14:textId="77777777" w:rsidR="00967CF7" w:rsidRPr="00A735F5" w:rsidRDefault="00967CF7" w:rsidP="00AB138E">
      <w:pPr>
        <w:spacing w:line="360" w:lineRule="auto"/>
        <w:jc w:val="both"/>
        <w:outlineLvl w:val="0"/>
        <w:rPr>
          <w:rFonts w:asciiTheme="minorHAnsi" w:hAnsiTheme="minorHAnsi" w:cstheme="minorHAnsi"/>
          <w:b/>
          <w:szCs w:val="24"/>
        </w:rPr>
      </w:pPr>
    </w:p>
    <w:p w14:paraId="16091D26" w14:textId="77777777" w:rsidR="000E4D6A" w:rsidRPr="00A735F5" w:rsidRDefault="000E4D6A" w:rsidP="00AB138E">
      <w:pPr>
        <w:spacing w:line="360" w:lineRule="auto"/>
        <w:jc w:val="both"/>
        <w:outlineLvl w:val="0"/>
        <w:rPr>
          <w:rFonts w:asciiTheme="minorHAnsi" w:hAnsiTheme="minorHAnsi" w:cstheme="minorHAnsi"/>
          <w:b/>
          <w:szCs w:val="24"/>
        </w:rPr>
      </w:pPr>
    </w:p>
    <w:p w14:paraId="76AFF5C5" w14:textId="77777777" w:rsidR="000E4D6A" w:rsidRPr="00A735F5" w:rsidRDefault="000E4D6A" w:rsidP="00AB138E">
      <w:pPr>
        <w:spacing w:line="360" w:lineRule="auto"/>
        <w:jc w:val="both"/>
        <w:outlineLvl w:val="0"/>
        <w:rPr>
          <w:rFonts w:asciiTheme="minorHAnsi" w:hAnsiTheme="minorHAnsi" w:cstheme="minorHAnsi"/>
          <w:b/>
          <w:szCs w:val="24"/>
        </w:rPr>
      </w:pPr>
    </w:p>
    <w:p w14:paraId="577484E5" w14:textId="77777777" w:rsidR="000E4D6A" w:rsidRPr="00A735F5" w:rsidRDefault="000E4D6A" w:rsidP="00AB138E">
      <w:pPr>
        <w:spacing w:line="360" w:lineRule="auto"/>
        <w:jc w:val="both"/>
        <w:outlineLvl w:val="0"/>
        <w:rPr>
          <w:rFonts w:asciiTheme="minorHAnsi" w:hAnsiTheme="minorHAnsi" w:cstheme="minorHAnsi"/>
          <w:b/>
          <w:szCs w:val="24"/>
        </w:rPr>
      </w:pPr>
    </w:p>
    <w:p w14:paraId="2C1B289F" w14:textId="77777777" w:rsidR="000E4D6A" w:rsidRPr="00A735F5" w:rsidRDefault="000E4D6A" w:rsidP="00AB138E">
      <w:pPr>
        <w:spacing w:line="360" w:lineRule="auto"/>
        <w:jc w:val="both"/>
        <w:outlineLvl w:val="0"/>
        <w:rPr>
          <w:rFonts w:asciiTheme="minorHAnsi" w:hAnsiTheme="minorHAnsi" w:cstheme="minorHAnsi"/>
          <w:b/>
          <w:szCs w:val="24"/>
        </w:rPr>
      </w:pPr>
    </w:p>
    <w:p w14:paraId="28F23707" w14:textId="77777777" w:rsidR="000E4D6A" w:rsidRPr="00A735F5" w:rsidRDefault="000E4D6A" w:rsidP="00AB138E">
      <w:pPr>
        <w:spacing w:line="360" w:lineRule="auto"/>
        <w:jc w:val="both"/>
        <w:outlineLvl w:val="0"/>
        <w:rPr>
          <w:rFonts w:asciiTheme="minorHAnsi" w:hAnsiTheme="minorHAnsi" w:cstheme="minorHAnsi"/>
          <w:b/>
          <w:szCs w:val="24"/>
        </w:rPr>
      </w:pPr>
    </w:p>
    <w:p w14:paraId="6F35C428" w14:textId="77777777" w:rsidR="000E4D6A" w:rsidRPr="00A735F5" w:rsidRDefault="000E4D6A" w:rsidP="00AB138E">
      <w:pPr>
        <w:spacing w:line="360" w:lineRule="auto"/>
        <w:jc w:val="both"/>
        <w:outlineLvl w:val="0"/>
        <w:rPr>
          <w:rFonts w:asciiTheme="minorHAnsi" w:hAnsiTheme="minorHAnsi" w:cstheme="minorHAnsi"/>
          <w:b/>
          <w:szCs w:val="24"/>
        </w:rPr>
      </w:pPr>
    </w:p>
    <w:p w14:paraId="7CB330B5" w14:textId="77777777" w:rsidR="000E4D6A" w:rsidRPr="00A735F5" w:rsidRDefault="000E4D6A" w:rsidP="00AB138E">
      <w:pPr>
        <w:spacing w:line="360" w:lineRule="auto"/>
        <w:jc w:val="both"/>
        <w:outlineLvl w:val="0"/>
        <w:rPr>
          <w:rFonts w:asciiTheme="minorHAnsi" w:hAnsiTheme="minorHAnsi" w:cstheme="minorHAnsi"/>
          <w:b/>
          <w:szCs w:val="24"/>
        </w:rPr>
      </w:pPr>
    </w:p>
    <w:p w14:paraId="01608B77" w14:textId="77777777" w:rsidR="000E4D6A" w:rsidRPr="00A735F5" w:rsidRDefault="000E4D6A" w:rsidP="00AB138E">
      <w:pPr>
        <w:spacing w:line="360" w:lineRule="auto"/>
        <w:jc w:val="both"/>
        <w:outlineLvl w:val="0"/>
        <w:rPr>
          <w:rFonts w:asciiTheme="minorHAnsi" w:hAnsiTheme="minorHAnsi" w:cstheme="minorHAnsi"/>
          <w:b/>
          <w:szCs w:val="24"/>
        </w:rPr>
      </w:pPr>
    </w:p>
    <w:p w14:paraId="6FD30382" w14:textId="77777777" w:rsidR="000E4D6A" w:rsidRPr="00A735F5" w:rsidRDefault="000E4D6A" w:rsidP="00AB138E">
      <w:pPr>
        <w:spacing w:line="360" w:lineRule="auto"/>
        <w:jc w:val="both"/>
        <w:outlineLvl w:val="0"/>
        <w:rPr>
          <w:rFonts w:asciiTheme="minorHAnsi" w:hAnsiTheme="minorHAnsi" w:cstheme="minorHAnsi"/>
          <w:b/>
          <w:szCs w:val="24"/>
        </w:rPr>
      </w:pPr>
    </w:p>
    <w:p w14:paraId="0D3A83AC" w14:textId="77777777" w:rsidR="000E4D6A" w:rsidRPr="00A735F5" w:rsidRDefault="000E4D6A" w:rsidP="00AB138E">
      <w:pPr>
        <w:spacing w:line="360" w:lineRule="auto"/>
        <w:jc w:val="both"/>
        <w:outlineLvl w:val="0"/>
        <w:rPr>
          <w:rFonts w:asciiTheme="minorHAnsi" w:hAnsiTheme="minorHAnsi" w:cstheme="minorHAnsi"/>
          <w:b/>
          <w:szCs w:val="24"/>
        </w:rPr>
      </w:pPr>
    </w:p>
    <w:p w14:paraId="18DA1CA7" w14:textId="77777777" w:rsidR="000E4D6A" w:rsidRPr="00A735F5" w:rsidRDefault="000E4D6A" w:rsidP="00AB138E">
      <w:pPr>
        <w:spacing w:line="360" w:lineRule="auto"/>
        <w:jc w:val="both"/>
        <w:outlineLvl w:val="0"/>
        <w:rPr>
          <w:rFonts w:asciiTheme="minorHAnsi" w:hAnsiTheme="minorHAnsi" w:cstheme="minorHAnsi"/>
          <w:b/>
          <w:szCs w:val="24"/>
        </w:rPr>
      </w:pPr>
    </w:p>
    <w:p w14:paraId="0289EADE" w14:textId="77777777" w:rsidR="000E4D6A" w:rsidRPr="00A735F5" w:rsidRDefault="000E4D6A" w:rsidP="00AB138E">
      <w:pPr>
        <w:spacing w:line="360" w:lineRule="auto"/>
        <w:jc w:val="both"/>
        <w:outlineLvl w:val="0"/>
        <w:rPr>
          <w:rFonts w:asciiTheme="minorHAnsi" w:hAnsiTheme="minorHAnsi" w:cstheme="minorHAnsi"/>
          <w:b/>
          <w:szCs w:val="24"/>
        </w:rPr>
      </w:pPr>
    </w:p>
    <w:p w14:paraId="000402F8" w14:textId="77777777" w:rsidR="000E4D6A" w:rsidRPr="00A735F5" w:rsidRDefault="000E4D6A" w:rsidP="00AB138E">
      <w:pPr>
        <w:spacing w:line="360" w:lineRule="auto"/>
        <w:jc w:val="both"/>
        <w:outlineLvl w:val="0"/>
        <w:rPr>
          <w:rFonts w:asciiTheme="minorHAnsi" w:hAnsiTheme="minorHAnsi" w:cstheme="minorHAnsi"/>
          <w:b/>
          <w:szCs w:val="24"/>
        </w:rPr>
      </w:pPr>
    </w:p>
    <w:p w14:paraId="34F2A00A" w14:textId="77777777" w:rsidR="000E4D6A" w:rsidRPr="00A735F5" w:rsidRDefault="000E4D6A" w:rsidP="00AB138E">
      <w:pPr>
        <w:spacing w:line="360" w:lineRule="auto"/>
        <w:jc w:val="both"/>
        <w:outlineLvl w:val="0"/>
        <w:rPr>
          <w:rFonts w:asciiTheme="minorHAnsi" w:hAnsiTheme="minorHAnsi" w:cstheme="minorHAnsi"/>
          <w:b/>
          <w:szCs w:val="24"/>
        </w:rPr>
      </w:pPr>
    </w:p>
    <w:p w14:paraId="5AF27618" w14:textId="77777777" w:rsidR="000E4D6A" w:rsidRPr="00A735F5" w:rsidRDefault="000E4D6A" w:rsidP="00AB138E">
      <w:pPr>
        <w:spacing w:line="360" w:lineRule="auto"/>
        <w:jc w:val="both"/>
        <w:outlineLvl w:val="0"/>
        <w:rPr>
          <w:rFonts w:asciiTheme="minorHAnsi" w:hAnsiTheme="minorHAnsi" w:cstheme="minorHAnsi"/>
          <w:b/>
          <w:szCs w:val="24"/>
        </w:rPr>
      </w:pPr>
    </w:p>
    <w:p w14:paraId="22A9574E" w14:textId="77777777" w:rsidR="000E4D6A" w:rsidRPr="00A735F5" w:rsidRDefault="000E4D6A" w:rsidP="00AB138E">
      <w:pPr>
        <w:spacing w:line="360" w:lineRule="auto"/>
        <w:jc w:val="both"/>
        <w:outlineLvl w:val="0"/>
        <w:rPr>
          <w:rFonts w:asciiTheme="minorHAnsi" w:hAnsiTheme="minorHAnsi" w:cstheme="minorHAnsi"/>
          <w:b/>
          <w:szCs w:val="24"/>
        </w:rPr>
      </w:pPr>
    </w:p>
    <w:p w14:paraId="558703FB" w14:textId="77777777" w:rsidR="000E4D6A" w:rsidRPr="00A735F5" w:rsidRDefault="000E4D6A" w:rsidP="00AB138E">
      <w:pPr>
        <w:spacing w:line="360" w:lineRule="auto"/>
        <w:jc w:val="both"/>
        <w:outlineLvl w:val="0"/>
        <w:rPr>
          <w:rFonts w:asciiTheme="minorHAnsi" w:hAnsiTheme="minorHAnsi" w:cstheme="minorHAnsi"/>
          <w:b/>
          <w:szCs w:val="24"/>
        </w:rPr>
      </w:pPr>
    </w:p>
    <w:p w14:paraId="37B09A50" w14:textId="77777777" w:rsidR="000E4D6A" w:rsidRPr="00A735F5" w:rsidRDefault="000E4D6A" w:rsidP="00AB138E">
      <w:pPr>
        <w:spacing w:line="360" w:lineRule="auto"/>
        <w:jc w:val="both"/>
        <w:outlineLvl w:val="0"/>
        <w:rPr>
          <w:rFonts w:asciiTheme="minorHAnsi" w:hAnsiTheme="minorHAnsi" w:cstheme="minorHAnsi"/>
          <w:b/>
          <w:szCs w:val="24"/>
        </w:rPr>
      </w:pPr>
    </w:p>
    <w:p w14:paraId="0D1CB8A5" w14:textId="77777777" w:rsidR="000E4D6A" w:rsidRPr="00A735F5" w:rsidRDefault="000E4D6A" w:rsidP="00AB138E">
      <w:pPr>
        <w:spacing w:line="360" w:lineRule="auto"/>
        <w:jc w:val="both"/>
        <w:outlineLvl w:val="0"/>
        <w:rPr>
          <w:rFonts w:asciiTheme="minorHAnsi" w:hAnsiTheme="minorHAnsi" w:cstheme="minorHAnsi"/>
          <w:b/>
          <w:szCs w:val="24"/>
        </w:rPr>
      </w:pPr>
    </w:p>
    <w:p w14:paraId="21E453A8" w14:textId="77777777" w:rsidR="000E4D6A" w:rsidRPr="00A735F5" w:rsidRDefault="000E4D6A" w:rsidP="00AB138E">
      <w:pPr>
        <w:spacing w:line="360" w:lineRule="auto"/>
        <w:jc w:val="both"/>
        <w:outlineLvl w:val="0"/>
        <w:rPr>
          <w:rFonts w:asciiTheme="minorHAnsi" w:hAnsiTheme="minorHAnsi" w:cstheme="minorHAnsi"/>
          <w:b/>
          <w:szCs w:val="24"/>
        </w:rPr>
      </w:pPr>
    </w:p>
    <w:p w14:paraId="4F6A12F8" w14:textId="77777777" w:rsidR="000E4D6A" w:rsidRPr="00A735F5" w:rsidRDefault="000E4D6A" w:rsidP="00AB138E">
      <w:pPr>
        <w:spacing w:line="360" w:lineRule="auto"/>
        <w:jc w:val="both"/>
        <w:outlineLvl w:val="0"/>
        <w:rPr>
          <w:rFonts w:asciiTheme="minorHAnsi" w:hAnsiTheme="minorHAnsi" w:cstheme="minorHAnsi"/>
          <w:b/>
          <w:szCs w:val="24"/>
        </w:rPr>
      </w:pPr>
    </w:p>
    <w:p w14:paraId="3366A41D" w14:textId="77777777" w:rsidR="000E4D6A" w:rsidRPr="00A735F5" w:rsidRDefault="000E4D6A" w:rsidP="00AB138E">
      <w:pPr>
        <w:spacing w:line="360" w:lineRule="auto"/>
        <w:jc w:val="both"/>
        <w:outlineLvl w:val="0"/>
        <w:rPr>
          <w:rFonts w:asciiTheme="minorHAnsi" w:hAnsiTheme="minorHAnsi" w:cstheme="minorHAnsi"/>
          <w:b/>
          <w:szCs w:val="24"/>
        </w:rPr>
      </w:pPr>
    </w:p>
    <w:p w14:paraId="03B2B538" w14:textId="77777777" w:rsidR="000E4D6A" w:rsidRPr="00A735F5" w:rsidRDefault="000E4D6A" w:rsidP="00AB138E">
      <w:pPr>
        <w:spacing w:line="360" w:lineRule="auto"/>
        <w:jc w:val="both"/>
        <w:outlineLvl w:val="0"/>
        <w:rPr>
          <w:rFonts w:asciiTheme="minorHAnsi" w:hAnsiTheme="minorHAnsi" w:cstheme="minorHAnsi"/>
          <w:b/>
          <w:szCs w:val="24"/>
        </w:rPr>
      </w:pPr>
    </w:p>
    <w:p w14:paraId="79DEE029" w14:textId="77777777" w:rsidR="000E4D6A" w:rsidRPr="00A735F5" w:rsidRDefault="000E4D6A" w:rsidP="00AB138E">
      <w:pPr>
        <w:spacing w:line="360" w:lineRule="auto"/>
        <w:jc w:val="both"/>
        <w:outlineLvl w:val="0"/>
        <w:rPr>
          <w:rFonts w:asciiTheme="minorHAnsi" w:hAnsiTheme="minorHAnsi" w:cstheme="minorHAnsi"/>
          <w:b/>
          <w:szCs w:val="24"/>
        </w:rPr>
      </w:pPr>
    </w:p>
    <w:p w14:paraId="7BA76AB9" w14:textId="77777777" w:rsidR="00834752" w:rsidRPr="00A735F5" w:rsidRDefault="000E4D6A" w:rsidP="00AB138E">
      <w:pPr>
        <w:spacing w:line="360" w:lineRule="auto"/>
        <w:jc w:val="both"/>
        <w:outlineLvl w:val="0"/>
        <w:rPr>
          <w:rFonts w:asciiTheme="minorHAnsi" w:hAnsiTheme="minorHAnsi" w:cstheme="minorHAnsi"/>
          <w:b/>
          <w:szCs w:val="24"/>
        </w:rPr>
      </w:pPr>
      <w:r w:rsidRPr="00A735F5">
        <w:rPr>
          <w:rFonts w:asciiTheme="minorHAnsi" w:hAnsiTheme="minorHAnsi" w:cstheme="minorHAnsi"/>
          <w:b/>
          <w:szCs w:val="24"/>
        </w:rPr>
        <w:t>ABSTRACT</w:t>
      </w:r>
    </w:p>
    <w:p w14:paraId="60B63A35" w14:textId="4F6CD51E" w:rsidR="00834752" w:rsidRPr="00A735F5" w:rsidRDefault="00834752" w:rsidP="00AB138E">
      <w:pPr>
        <w:spacing w:line="360" w:lineRule="auto"/>
        <w:jc w:val="both"/>
        <w:outlineLvl w:val="0"/>
        <w:rPr>
          <w:rFonts w:asciiTheme="minorHAnsi" w:hAnsiTheme="minorHAnsi" w:cstheme="minorHAnsi"/>
          <w:b/>
          <w:szCs w:val="24"/>
        </w:rPr>
      </w:pPr>
      <w:r w:rsidRPr="00A735F5">
        <w:rPr>
          <w:rFonts w:asciiTheme="minorHAnsi" w:hAnsiTheme="minorHAnsi" w:cstheme="minorHAnsi"/>
          <w:b/>
          <w:szCs w:val="24"/>
        </w:rPr>
        <w:t xml:space="preserve">Developing </w:t>
      </w:r>
      <w:r w:rsidR="00EE196A">
        <w:rPr>
          <w:rFonts w:asciiTheme="minorHAnsi" w:hAnsiTheme="minorHAnsi" w:cstheme="minorHAnsi"/>
          <w:b/>
          <w:szCs w:val="24"/>
        </w:rPr>
        <w:t xml:space="preserve">regional Circular Economy </w:t>
      </w:r>
      <w:r w:rsidR="009A04F7" w:rsidRPr="00A735F5">
        <w:rPr>
          <w:rFonts w:asciiTheme="minorHAnsi" w:hAnsiTheme="minorHAnsi" w:cstheme="minorHAnsi"/>
          <w:b/>
          <w:szCs w:val="24"/>
        </w:rPr>
        <w:t xml:space="preserve">innovation </w:t>
      </w:r>
      <w:r w:rsidRPr="00A735F5">
        <w:rPr>
          <w:rFonts w:asciiTheme="minorHAnsi" w:hAnsiTheme="minorHAnsi" w:cstheme="minorHAnsi"/>
          <w:b/>
          <w:szCs w:val="24"/>
        </w:rPr>
        <w:t>capabilit</w:t>
      </w:r>
      <w:r w:rsidR="00EE196A">
        <w:rPr>
          <w:rFonts w:asciiTheme="minorHAnsi" w:hAnsiTheme="minorHAnsi" w:cstheme="minorHAnsi"/>
          <w:b/>
          <w:szCs w:val="24"/>
        </w:rPr>
        <w:t>y</w:t>
      </w:r>
      <w:r w:rsidRPr="00A735F5">
        <w:rPr>
          <w:rFonts w:asciiTheme="minorHAnsi" w:hAnsiTheme="minorHAnsi" w:cstheme="minorHAnsi"/>
          <w:b/>
          <w:szCs w:val="24"/>
        </w:rPr>
        <w:t>: A</w:t>
      </w:r>
      <w:r w:rsidR="00EE196A">
        <w:rPr>
          <w:rFonts w:asciiTheme="minorHAnsi" w:hAnsiTheme="minorHAnsi" w:cstheme="minorHAnsi"/>
          <w:b/>
          <w:szCs w:val="24"/>
        </w:rPr>
        <w:t xml:space="preserve"> programme Community of Practice </w:t>
      </w:r>
      <w:r w:rsidRPr="00A735F5">
        <w:rPr>
          <w:rFonts w:asciiTheme="minorHAnsi" w:hAnsiTheme="minorHAnsi" w:cstheme="minorHAnsi"/>
          <w:b/>
          <w:szCs w:val="24"/>
        </w:rPr>
        <w:t>approach</w:t>
      </w:r>
      <w:r w:rsidR="00F04FD9" w:rsidRPr="00A735F5">
        <w:rPr>
          <w:rFonts w:asciiTheme="minorHAnsi" w:hAnsiTheme="minorHAnsi" w:cstheme="minorHAnsi"/>
          <w:b/>
          <w:szCs w:val="24"/>
        </w:rPr>
        <w:t>.</w:t>
      </w:r>
    </w:p>
    <w:p w14:paraId="4AB8F8EF" w14:textId="443EB53D" w:rsidR="00834752" w:rsidRPr="00A735F5" w:rsidRDefault="00EE196A" w:rsidP="00AB138E">
      <w:pPr>
        <w:spacing w:before="240" w:after="240" w:line="360" w:lineRule="auto"/>
        <w:jc w:val="center"/>
        <w:rPr>
          <w:rFonts w:asciiTheme="minorHAnsi" w:hAnsiTheme="minorHAnsi" w:cstheme="minorHAnsi"/>
          <w:color w:val="000000"/>
          <w:szCs w:val="24"/>
          <w:lang w:eastAsia="en-GB"/>
        </w:rPr>
      </w:pPr>
      <w:r>
        <w:rPr>
          <w:rFonts w:asciiTheme="minorHAnsi" w:hAnsiTheme="minorHAnsi" w:cstheme="minorHAnsi"/>
          <w:b/>
          <w:bCs/>
          <w:color w:val="000000"/>
          <w:szCs w:val="24"/>
          <w:lang w:eastAsia="en-GB"/>
        </w:rPr>
        <w:t xml:space="preserve">AMI </w:t>
      </w:r>
      <w:r w:rsidR="00364753" w:rsidRPr="00A735F5">
        <w:rPr>
          <w:rFonts w:asciiTheme="minorHAnsi" w:hAnsiTheme="minorHAnsi" w:cstheme="minorHAnsi"/>
          <w:b/>
          <w:bCs/>
          <w:color w:val="000000"/>
          <w:szCs w:val="24"/>
          <w:lang w:eastAsia="en-GB"/>
        </w:rPr>
        <w:t>Conference 202</w:t>
      </w:r>
      <w:r>
        <w:rPr>
          <w:rFonts w:asciiTheme="minorHAnsi" w:hAnsiTheme="minorHAnsi" w:cstheme="minorHAnsi"/>
          <w:b/>
          <w:bCs/>
          <w:color w:val="000000"/>
          <w:szCs w:val="24"/>
          <w:lang w:eastAsia="en-GB"/>
        </w:rPr>
        <w:t>3</w:t>
      </w:r>
    </w:p>
    <w:p w14:paraId="26E1C21C" w14:textId="77777777" w:rsidR="000E4D6A" w:rsidRPr="00A735F5" w:rsidRDefault="000E4D6A" w:rsidP="00AB138E">
      <w:pPr>
        <w:spacing w:line="360" w:lineRule="auto"/>
        <w:jc w:val="both"/>
        <w:outlineLvl w:val="0"/>
        <w:rPr>
          <w:rFonts w:asciiTheme="minorHAnsi" w:hAnsiTheme="minorHAnsi" w:cstheme="minorHAnsi"/>
          <w:b/>
          <w:szCs w:val="24"/>
        </w:rPr>
      </w:pPr>
    </w:p>
    <w:p w14:paraId="2F1DA863" w14:textId="033E0BDC" w:rsidR="007E5C8A" w:rsidRPr="00A735F5" w:rsidRDefault="007E5C8A" w:rsidP="00AB138E">
      <w:pPr>
        <w:spacing w:line="360" w:lineRule="auto"/>
        <w:rPr>
          <w:rFonts w:asciiTheme="minorHAnsi" w:hAnsiTheme="minorHAnsi" w:cstheme="minorHAnsi"/>
          <w:szCs w:val="24"/>
        </w:rPr>
      </w:pPr>
      <w:r w:rsidRPr="00A735F5">
        <w:rPr>
          <w:rFonts w:asciiTheme="minorHAnsi" w:hAnsiTheme="minorHAnsi" w:cstheme="minorHAnsi"/>
          <w:szCs w:val="24"/>
        </w:rPr>
        <w:t>Keywords</w:t>
      </w:r>
      <w:r w:rsidR="00834752" w:rsidRPr="00A735F5">
        <w:rPr>
          <w:rFonts w:asciiTheme="minorHAnsi" w:hAnsiTheme="minorHAnsi" w:cstheme="minorHAnsi"/>
          <w:szCs w:val="24"/>
        </w:rPr>
        <w:t>: C</w:t>
      </w:r>
      <w:r w:rsidR="00EE196A">
        <w:rPr>
          <w:rFonts w:asciiTheme="minorHAnsi" w:hAnsiTheme="minorHAnsi" w:cstheme="minorHAnsi"/>
          <w:szCs w:val="24"/>
        </w:rPr>
        <w:t>ircular Economy</w:t>
      </w:r>
      <w:r w:rsidR="00834752" w:rsidRPr="00A735F5">
        <w:rPr>
          <w:rFonts w:asciiTheme="minorHAnsi" w:hAnsiTheme="minorHAnsi" w:cstheme="minorHAnsi"/>
          <w:szCs w:val="24"/>
        </w:rPr>
        <w:t xml:space="preserve">, Innovation capability, regional innovation, </w:t>
      </w:r>
      <w:r w:rsidR="004C6C01">
        <w:rPr>
          <w:rFonts w:asciiTheme="minorHAnsi" w:hAnsiTheme="minorHAnsi" w:cstheme="minorHAnsi"/>
          <w:szCs w:val="24"/>
        </w:rPr>
        <w:t xml:space="preserve">social learning theory, </w:t>
      </w:r>
      <w:r w:rsidR="00834752" w:rsidRPr="00A735F5">
        <w:rPr>
          <w:rFonts w:asciiTheme="minorHAnsi" w:hAnsiTheme="minorHAnsi" w:cstheme="minorHAnsi"/>
          <w:szCs w:val="24"/>
        </w:rPr>
        <w:t xml:space="preserve">communities of practice, </w:t>
      </w:r>
      <w:r w:rsidR="009A04F7" w:rsidRPr="00A735F5">
        <w:rPr>
          <w:rFonts w:asciiTheme="minorHAnsi" w:hAnsiTheme="minorHAnsi" w:cstheme="minorHAnsi"/>
          <w:szCs w:val="24"/>
        </w:rPr>
        <w:t>open innovation</w:t>
      </w:r>
      <w:r w:rsidR="00F328D8">
        <w:rPr>
          <w:rFonts w:asciiTheme="minorHAnsi" w:hAnsiTheme="minorHAnsi" w:cstheme="minorHAnsi"/>
          <w:szCs w:val="24"/>
        </w:rPr>
        <w:t>, challenge-led programmes</w:t>
      </w:r>
      <w:r w:rsidR="009A04F7" w:rsidRPr="00A735F5">
        <w:rPr>
          <w:rFonts w:asciiTheme="minorHAnsi" w:hAnsiTheme="minorHAnsi" w:cstheme="minorHAnsi"/>
          <w:szCs w:val="24"/>
        </w:rPr>
        <w:t>.</w:t>
      </w:r>
    </w:p>
    <w:p w14:paraId="0EE135AF" w14:textId="79EBFB1E" w:rsidR="00751243" w:rsidRPr="00A735F5" w:rsidRDefault="00364753" w:rsidP="00AB138E">
      <w:pPr>
        <w:spacing w:before="240" w:after="240" w:line="360" w:lineRule="auto"/>
        <w:rPr>
          <w:rFonts w:asciiTheme="minorHAnsi" w:hAnsiTheme="minorHAnsi" w:cstheme="minorHAnsi"/>
          <w:szCs w:val="24"/>
        </w:rPr>
      </w:pPr>
      <w:r w:rsidRPr="00A735F5">
        <w:rPr>
          <w:rFonts w:asciiTheme="minorHAnsi" w:hAnsiTheme="minorHAnsi" w:cstheme="minorHAnsi"/>
          <w:color w:val="000000"/>
          <w:szCs w:val="24"/>
        </w:rPr>
        <w:t xml:space="preserve">Authors: </w:t>
      </w:r>
      <w:r w:rsidR="00751243" w:rsidRPr="00A735F5">
        <w:rPr>
          <w:rFonts w:asciiTheme="minorHAnsi" w:hAnsiTheme="minorHAnsi" w:cstheme="minorHAnsi"/>
          <w:color w:val="000000"/>
          <w:szCs w:val="24"/>
        </w:rPr>
        <w:t>Gary Walpole</w:t>
      </w:r>
      <w:r w:rsidR="00EE196A">
        <w:rPr>
          <w:rFonts w:asciiTheme="minorHAnsi" w:hAnsiTheme="minorHAnsi" w:cstheme="minorHAnsi"/>
          <w:color w:val="000000"/>
          <w:szCs w:val="24"/>
        </w:rPr>
        <w:t>, Sue Smith</w:t>
      </w:r>
      <w:r w:rsidR="00A735F5">
        <w:rPr>
          <w:rFonts w:asciiTheme="minorHAnsi" w:hAnsiTheme="minorHAnsi" w:cstheme="minorHAnsi"/>
          <w:color w:val="000000"/>
          <w:szCs w:val="24"/>
        </w:rPr>
        <w:t xml:space="preserve"> &amp; </w:t>
      </w:r>
      <w:r w:rsidR="00F04FD9" w:rsidRPr="00A735F5">
        <w:rPr>
          <w:rFonts w:asciiTheme="minorHAnsi" w:hAnsiTheme="minorHAnsi" w:cstheme="minorHAnsi"/>
          <w:color w:val="000000"/>
          <w:szCs w:val="24"/>
        </w:rPr>
        <w:t>Katie Beverley</w:t>
      </w:r>
      <w:r w:rsidR="009A04F7" w:rsidRPr="00A735F5">
        <w:rPr>
          <w:rFonts w:asciiTheme="minorHAnsi" w:hAnsiTheme="minorHAnsi" w:cstheme="minorHAnsi"/>
          <w:color w:val="000000"/>
          <w:szCs w:val="24"/>
        </w:rPr>
        <w:t xml:space="preserve">. </w:t>
      </w:r>
      <w:r w:rsidR="00751243" w:rsidRPr="00A735F5">
        <w:rPr>
          <w:rFonts w:asciiTheme="minorHAnsi" w:hAnsiTheme="minorHAnsi" w:cstheme="minorHAnsi"/>
          <w:color w:val="000000"/>
          <w:szCs w:val="24"/>
        </w:rPr>
        <w:t> </w:t>
      </w:r>
    </w:p>
    <w:p w14:paraId="295299AA" w14:textId="77777777" w:rsidR="00A80E42" w:rsidRPr="00A735F5" w:rsidRDefault="00751243" w:rsidP="00AB138E">
      <w:pPr>
        <w:spacing w:line="360" w:lineRule="auto"/>
        <w:rPr>
          <w:rFonts w:asciiTheme="minorHAnsi" w:hAnsiTheme="minorHAnsi" w:cstheme="minorHAnsi"/>
          <w:color w:val="000000"/>
          <w:szCs w:val="24"/>
        </w:rPr>
      </w:pPr>
      <w:r w:rsidRPr="00A735F5">
        <w:rPr>
          <w:rFonts w:asciiTheme="minorHAnsi" w:hAnsiTheme="minorHAnsi" w:cstheme="minorHAnsi"/>
          <w:b/>
          <w:bCs/>
          <w:color w:val="000000"/>
          <w:szCs w:val="24"/>
        </w:rPr>
        <w:t>Abstract</w:t>
      </w:r>
      <w:r w:rsidRPr="00A735F5">
        <w:rPr>
          <w:rFonts w:asciiTheme="minorHAnsi" w:hAnsiTheme="minorHAnsi" w:cstheme="minorHAnsi"/>
          <w:color w:val="000000"/>
          <w:szCs w:val="24"/>
        </w:rPr>
        <w:t xml:space="preserve">: </w:t>
      </w:r>
    </w:p>
    <w:p w14:paraId="443E95C6" w14:textId="1410F831" w:rsidR="00EB7DAB" w:rsidRPr="00A735F5" w:rsidRDefault="00A80E42" w:rsidP="00AB138E">
      <w:pPr>
        <w:spacing w:line="360" w:lineRule="auto"/>
        <w:rPr>
          <w:rFonts w:asciiTheme="minorHAnsi" w:hAnsiTheme="minorHAnsi" w:cstheme="minorHAnsi"/>
          <w:color w:val="000000"/>
          <w:szCs w:val="24"/>
        </w:rPr>
      </w:pPr>
      <w:r w:rsidRPr="00A735F5">
        <w:rPr>
          <w:rFonts w:asciiTheme="minorHAnsi" w:hAnsiTheme="minorHAnsi" w:cstheme="minorHAnsi"/>
          <w:color w:val="000000"/>
          <w:szCs w:val="24"/>
        </w:rPr>
        <w:t xml:space="preserve">Public services have recently experienced a ‘perfect storm’, dealing with challenges including the task demands of COVID-19, increased financial pressures derived from the pandemic and its impact on future revenue flows, obligations to meet 2030 Net Zero targets, and Brexit repercussions. These challenges have highlighted the requirement for public service organisations (PSOs) to enhance their innovation capabilities (Arundel et al. 2019). </w:t>
      </w:r>
      <w:r w:rsidR="00132F88" w:rsidRPr="00A735F5">
        <w:rPr>
          <w:rFonts w:asciiTheme="minorHAnsi" w:hAnsiTheme="minorHAnsi" w:cstheme="minorHAnsi"/>
          <w:color w:val="000000"/>
          <w:szCs w:val="24"/>
        </w:rPr>
        <w:t xml:space="preserve">This paper reports on </w:t>
      </w:r>
      <w:r w:rsidR="00EB7DAB" w:rsidRPr="00A735F5">
        <w:rPr>
          <w:rFonts w:asciiTheme="minorHAnsi" w:hAnsiTheme="minorHAnsi" w:cstheme="minorHAnsi"/>
          <w:color w:val="000000"/>
          <w:szCs w:val="24"/>
        </w:rPr>
        <w:t xml:space="preserve">a regional </w:t>
      </w:r>
      <w:r w:rsidR="00455231" w:rsidRPr="00A735F5">
        <w:rPr>
          <w:rFonts w:asciiTheme="minorHAnsi" w:hAnsiTheme="minorHAnsi" w:cstheme="minorHAnsi"/>
          <w:color w:val="000000"/>
          <w:szCs w:val="24"/>
        </w:rPr>
        <w:t xml:space="preserve">HEI executive education </w:t>
      </w:r>
      <w:r w:rsidR="00EB7DAB" w:rsidRPr="00A735F5">
        <w:rPr>
          <w:rFonts w:asciiTheme="minorHAnsi" w:hAnsiTheme="minorHAnsi" w:cstheme="minorHAnsi"/>
          <w:color w:val="000000"/>
          <w:szCs w:val="24"/>
        </w:rPr>
        <w:t>programme being delivered in Wales</w:t>
      </w:r>
      <w:r w:rsidR="00751243" w:rsidRPr="00A735F5">
        <w:rPr>
          <w:rFonts w:asciiTheme="minorHAnsi" w:hAnsiTheme="minorHAnsi" w:cstheme="minorHAnsi"/>
          <w:color w:val="000000"/>
          <w:szCs w:val="24"/>
        </w:rPr>
        <w:t xml:space="preserve">, the Circular Economy Innovation Communities </w:t>
      </w:r>
      <w:r w:rsidR="009A04F7" w:rsidRPr="00A735F5">
        <w:rPr>
          <w:rFonts w:asciiTheme="minorHAnsi" w:hAnsiTheme="minorHAnsi" w:cstheme="minorHAnsi"/>
          <w:color w:val="000000"/>
          <w:szCs w:val="24"/>
        </w:rPr>
        <w:t xml:space="preserve">(CEIC) </w:t>
      </w:r>
      <w:r w:rsidR="00751243" w:rsidRPr="00A735F5">
        <w:rPr>
          <w:rFonts w:asciiTheme="minorHAnsi" w:hAnsiTheme="minorHAnsi" w:cstheme="minorHAnsi"/>
          <w:color w:val="000000"/>
          <w:szCs w:val="24"/>
        </w:rPr>
        <w:t>project</w:t>
      </w:r>
      <w:r w:rsidR="00EB7DAB" w:rsidRPr="00A735F5">
        <w:rPr>
          <w:rFonts w:asciiTheme="minorHAnsi" w:hAnsiTheme="minorHAnsi" w:cstheme="minorHAnsi"/>
          <w:color w:val="000000"/>
          <w:szCs w:val="24"/>
        </w:rPr>
        <w:t>, that</w:t>
      </w:r>
      <w:r w:rsidR="00751243" w:rsidRPr="00A735F5">
        <w:rPr>
          <w:rFonts w:asciiTheme="minorHAnsi" w:hAnsiTheme="minorHAnsi" w:cstheme="minorHAnsi"/>
          <w:color w:val="000000"/>
          <w:szCs w:val="24"/>
        </w:rPr>
        <w:t xml:space="preserve"> aims to develop the </w:t>
      </w:r>
      <w:r w:rsidR="00EB7DAB" w:rsidRPr="00A735F5">
        <w:rPr>
          <w:rFonts w:asciiTheme="minorHAnsi" w:hAnsiTheme="minorHAnsi" w:cstheme="minorHAnsi"/>
          <w:color w:val="000000"/>
          <w:szCs w:val="24"/>
        </w:rPr>
        <w:t xml:space="preserve">innovation </w:t>
      </w:r>
      <w:r w:rsidR="00751243" w:rsidRPr="00A735F5">
        <w:rPr>
          <w:rFonts w:asciiTheme="minorHAnsi" w:hAnsiTheme="minorHAnsi" w:cstheme="minorHAnsi"/>
          <w:color w:val="000000"/>
          <w:szCs w:val="24"/>
        </w:rPr>
        <w:t>knowledge and skills of senior practitioners in public sector organisations</w:t>
      </w:r>
      <w:r w:rsidR="00EB7DAB" w:rsidRPr="00A735F5">
        <w:rPr>
          <w:rFonts w:asciiTheme="minorHAnsi" w:hAnsiTheme="minorHAnsi" w:cstheme="minorHAnsi"/>
          <w:color w:val="000000"/>
          <w:szCs w:val="24"/>
        </w:rPr>
        <w:t xml:space="preserve"> through </w:t>
      </w:r>
      <w:r w:rsidR="00751243" w:rsidRPr="00A735F5">
        <w:rPr>
          <w:rFonts w:asciiTheme="minorHAnsi" w:hAnsiTheme="minorHAnsi" w:cstheme="minorHAnsi"/>
          <w:color w:val="000000"/>
          <w:szCs w:val="24"/>
        </w:rPr>
        <w:t xml:space="preserve">inter-organisational </w:t>
      </w:r>
      <w:r w:rsidR="00EB7DAB" w:rsidRPr="00A735F5">
        <w:rPr>
          <w:rFonts w:asciiTheme="minorHAnsi" w:hAnsiTheme="minorHAnsi" w:cstheme="minorHAnsi"/>
          <w:color w:val="000000"/>
          <w:szCs w:val="24"/>
        </w:rPr>
        <w:t xml:space="preserve">‘Programme </w:t>
      </w:r>
      <w:r w:rsidR="00751243" w:rsidRPr="00A735F5">
        <w:rPr>
          <w:rFonts w:asciiTheme="minorHAnsi" w:hAnsiTheme="minorHAnsi" w:cstheme="minorHAnsi"/>
          <w:color w:val="000000"/>
          <w:szCs w:val="24"/>
        </w:rPr>
        <w:t>Communities of Practice</w:t>
      </w:r>
      <w:r w:rsidR="00EB7DAB" w:rsidRPr="00A735F5">
        <w:rPr>
          <w:rFonts w:asciiTheme="minorHAnsi" w:hAnsiTheme="minorHAnsi" w:cstheme="minorHAnsi"/>
          <w:color w:val="000000"/>
          <w:szCs w:val="24"/>
        </w:rPr>
        <w:t>’ (PCoP)</w:t>
      </w:r>
      <w:r w:rsidR="001F1D00">
        <w:rPr>
          <w:rFonts w:asciiTheme="minorHAnsi" w:hAnsiTheme="minorHAnsi" w:cstheme="minorHAnsi"/>
          <w:color w:val="000000"/>
          <w:szCs w:val="24"/>
        </w:rPr>
        <w:t>(Smith et al, 2018)</w:t>
      </w:r>
      <w:r w:rsidR="00EB7DAB" w:rsidRPr="00A735F5">
        <w:rPr>
          <w:rFonts w:asciiTheme="minorHAnsi" w:hAnsiTheme="minorHAnsi" w:cstheme="minorHAnsi"/>
          <w:color w:val="000000"/>
          <w:szCs w:val="24"/>
        </w:rPr>
        <w:t xml:space="preserve">.  </w:t>
      </w:r>
      <w:r w:rsidR="00A735F5">
        <w:rPr>
          <w:rFonts w:asciiTheme="minorHAnsi" w:hAnsiTheme="minorHAnsi" w:cstheme="minorHAnsi"/>
          <w:color w:val="000000"/>
          <w:szCs w:val="24"/>
        </w:rPr>
        <w:t>The CEIC programme simultaneously develops practitioners circular economy (CE) knowledge by supporting practitioners to develop new service solutions that reduce the carbon footprint of their organisation</w:t>
      </w:r>
      <w:r w:rsidR="001F1D00">
        <w:rPr>
          <w:rFonts w:asciiTheme="minorHAnsi" w:hAnsiTheme="minorHAnsi" w:cstheme="minorHAnsi"/>
          <w:color w:val="000000"/>
          <w:szCs w:val="24"/>
        </w:rPr>
        <w:t>, through a ‘challenge-led’ approach</w:t>
      </w:r>
      <w:r w:rsidR="00A735F5">
        <w:rPr>
          <w:rFonts w:asciiTheme="minorHAnsi" w:hAnsiTheme="minorHAnsi" w:cstheme="minorHAnsi"/>
          <w:color w:val="000000"/>
          <w:szCs w:val="24"/>
        </w:rPr>
        <w:t xml:space="preserve">.  </w:t>
      </w:r>
      <w:r w:rsidR="00EB7DAB" w:rsidRPr="00A735F5">
        <w:rPr>
          <w:rFonts w:asciiTheme="minorHAnsi" w:hAnsiTheme="minorHAnsi" w:cstheme="minorHAnsi"/>
          <w:color w:val="000000"/>
          <w:szCs w:val="24"/>
        </w:rPr>
        <w:t>Th</w:t>
      </w:r>
      <w:r w:rsidR="00455231" w:rsidRPr="00A735F5">
        <w:rPr>
          <w:rFonts w:asciiTheme="minorHAnsi" w:hAnsiTheme="minorHAnsi" w:cstheme="minorHAnsi"/>
          <w:color w:val="000000"/>
          <w:szCs w:val="24"/>
        </w:rPr>
        <w:t xml:space="preserve">is </w:t>
      </w:r>
      <w:r w:rsidR="00EB7DAB" w:rsidRPr="00A735F5">
        <w:rPr>
          <w:rFonts w:asciiTheme="minorHAnsi" w:hAnsiTheme="minorHAnsi" w:cstheme="minorHAnsi"/>
          <w:color w:val="000000"/>
          <w:szCs w:val="24"/>
        </w:rPr>
        <w:t xml:space="preserve">paper presents </w:t>
      </w:r>
      <w:r w:rsidR="00A735F5">
        <w:rPr>
          <w:rFonts w:asciiTheme="minorHAnsi" w:hAnsiTheme="minorHAnsi" w:cstheme="minorHAnsi"/>
          <w:color w:val="000000"/>
          <w:szCs w:val="24"/>
        </w:rPr>
        <w:t xml:space="preserve">empirical data from </w:t>
      </w:r>
      <w:r w:rsidR="009A04F7" w:rsidRPr="00A735F5">
        <w:rPr>
          <w:rFonts w:asciiTheme="minorHAnsi" w:hAnsiTheme="minorHAnsi" w:cstheme="minorHAnsi"/>
          <w:color w:val="000000"/>
          <w:szCs w:val="24"/>
        </w:rPr>
        <w:t>five</w:t>
      </w:r>
      <w:r w:rsidR="00EB7DAB" w:rsidRPr="00A735F5">
        <w:rPr>
          <w:rFonts w:asciiTheme="minorHAnsi" w:hAnsiTheme="minorHAnsi" w:cstheme="minorHAnsi"/>
          <w:color w:val="000000"/>
          <w:szCs w:val="24"/>
        </w:rPr>
        <w:t xml:space="preserve"> case studies of</w:t>
      </w:r>
      <w:r w:rsidR="00751243" w:rsidRPr="00A735F5">
        <w:rPr>
          <w:rFonts w:asciiTheme="minorHAnsi" w:hAnsiTheme="minorHAnsi" w:cstheme="minorHAnsi"/>
          <w:color w:val="000000"/>
          <w:szCs w:val="24"/>
        </w:rPr>
        <w:t xml:space="preserve"> </w:t>
      </w:r>
      <w:r w:rsidR="00EB7DAB" w:rsidRPr="00A735F5">
        <w:rPr>
          <w:rFonts w:asciiTheme="minorHAnsi" w:hAnsiTheme="minorHAnsi" w:cstheme="minorHAnsi"/>
          <w:color w:val="000000"/>
          <w:szCs w:val="24"/>
        </w:rPr>
        <w:t xml:space="preserve">new service solutions co-prodcued by </w:t>
      </w:r>
      <w:r w:rsidR="00A735F5">
        <w:rPr>
          <w:rFonts w:asciiTheme="minorHAnsi" w:hAnsiTheme="minorHAnsi" w:cstheme="minorHAnsi"/>
          <w:color w:val="000000"/>
          <w:szCs w:val="24"/>
        </w:rPr>
        <w:t xml:space="preserve">groups of </w:t>
      </w:r>
      <w:r w:rsidR="00EB7DAB" w:rsidRPr="00A735F5">
        <w:rPr>
          <w:rFonts w:asciiTheme="minorHAnsi" w:hAnsiTheme="minorHAnsi" w:cstheme="minorHAnsi"/>
          <w:color w:val="000000"/>
          <w:szCs w:val="24"/>
        </w:rPr>
        <w:t>practitioners within the HEI facilitated PCoP</w:t>
      </w:r>
      <w:r w:rsidR="00EE196A">
        <w:rPr>
          <w:rFonts w:asciiTheme="minorHAnsi" w:hAnsiTheme="minorHAnsi" w:cstheme="minorHAnsi"/>
          <w:color w:val="000000"/>
          <w:szCs w:val="24"/>
        </w:rPr>
        <w:t xml:space="preserve">.  </w:t>
      </w:r>
      <w:r w:rsidR="009A04F7" w:rsidRPr="00A735F5">
        <w:rPr>
          <w:rFonts w:asciiTheme="minorHAnsi" w:hAnsiTheme="minorHAnsi" w:cstheme="minorHAnsi"/>
          <w:color w:val="000000"/>
          <w:szCs w:val="24"/>
        </w:rPr>
        <w:t>T</w:t>
      </w:r>
      <w:r w:rsidR="00AB138E" w:rsidRPr="00A735F5">
        <w:rPr>
          <w:rFonts w:asciiTheme="minorHAnsi" w:hAnsiTheme="minorHAnsi" w:cstheme="minorHAnsi"/>
          <w:color w:val="000000"/>
          <w:szCs w:val="24"/>
        </w:rPr>
        <w:t xml:space="preserve">he </w:t>
      </w:r>
      <w:r w:rsidR="009A04F7" w:rsidRPr="00A735F5">
        <w:rPr>
          <w:rFonts w:asciiTheme="minorHAnsi" w:hAnsiTheme="minorHAnsi" w:cstheme="minorHAnsi"/>
          <w:color w:val="000000"/>
          <w:szCs w:val="24"/>
        </w:rPr>
        <w:t xml:space="preserve">empirical data suggests the </w:t>
      </w:r>
      <w:r w:rsidR="00AB138E" w:rsidRPr="00A735F5">
        <w:rPr>
          <w:rFonts w:asciiTheme="minorHAnsi" w:hAnsiTheme="minorHAnsi" w:cstheme="minorHAnsi"/>
          <w:color w:val="000000"/>
          <w:szCs w:val="24"/>
        </w:rPr>
        <w:t>novel pedagogical approach and</w:t>
      </w:r>
      <w:r w:rsidR="00EE196A">
        <w:rPr>
          <w:rFonts w:asciiTheme="minorHAnsi" w:hAnsiTheme="minorHAnsi" w:cstheme="minorHAnsi"/>
          <w:color w:val="000000"/>
          <w:szCs w:val="24"/>
        </w:rPr>
        <w:t xml:space="preserve"> the</w:t>
      </w:r>
      <w:r w:rsidR="00AB138E" w:rsidRPr="00A735F5">
        <w:rPr>
          <w:rFonts w:asciiTheme="minorHAnsi" w:hAnsiTheme="minorHAnsi" w:cstheme="minorHAnsi"/>
          <w:color w:val="000000"/>
          <w:szCs w:val="24"/>
        </w:rPr>
        <w:t xml:space="preserve"> </w:t>
      </w:r>
      <w:r w:rsidR="005F114C" w:rsidRPr="00A735F5">
        <w:rPr>
          <w:rFonts w:asciiTheme="minorHAnsi" w:hAnsiTheme="minorHAnsi" w:cstheme="minorHAnsi"/>
          <w:color w:val="000000"/>
          <w:szCs w:val="24"/>
        </w:rPr>
        <w:t xml:space="preserve">theoretical </w:t>
      </w:r>
      <w:r w:rsidR="00AB138E" w:rsidRPr="00A735F5">
        <w:rPr>
          <w:rFonts w:asciiTheme="minorHAnsi" w:hAnsiTheme="minorHAnsi" w:cstheme="minorHAnsi"/>
          <w:color w:val="000000"/>
          <w:szCs w:val="24"/>
        </w:rPr>
        <w:t>content</w:t>
      </w:r>
      <w:r w:rsidR="005F114C" w:rsidRPr="00A735F5">
        <w:rPr>
          <w:rFonts w:asciiTheme="minorHAnsi" w:hAnsiTheme="minorHAnsi" w:cstheme="minorHAnsi"/>
          <w:color w:val="000000"/>
          <w:szCs w:val="24"/>
        </w:rPr>
        <w:t xml:space="preserve"> within the </w:t>
      </w:r>
      <w:r w:rsidR="005F114C" w:rsidRPr="00A735F5">
        <w:rPr>
          <w:rFonts w:asciiTheme="minorHAnsi" w:hAnsiTheme="minorHAnsi" w:cstheme="minorHAnsi"/>
          <w:color w:val="000000"/>
          <w:szCs w:val="24"/>
        </w:rPr>
        <w:lastRenderedPageBreak/>
        <w:t>programme is effective at developing practitioners innovation capabilities</w:t>
      </w:r>
      <w:r w:rsidR="00EE196A">
        <w:rPr>
          <w:rFonts w:asciiTheme="minorHAnsi" w:hAnsiTheme="minorHAnsi" w:cstheme="minorHAnsi"/>
          <w:color w:val="000000"/>
          <w:szCs w:val="24"/>
        </w:rPr>
        <w:t xml:space="preserve"> and creating regional innovation networks</w:t>
      </w:r>
      <w:r w:rsidR="00EB7DAB" w:rsidRPr="00A735F5">
        <w:rPr>
          <w:rFonts w:asciiTheme="minorHAnsi" w:hAnsiTheme="minorHAnsi" w:cstheme="minorHAnsi"/>
          <w:color w:val="000000"/>
          <w:szCs w:val="24"/>
        </w:rPr>
        <w:t>.</w:t>
      </w:r>
    </w:p>
    <w:p w14:paraId="1AB543DB" w14:textId="1CEB1044" w:rsidR="00751243" w:rsidRPr="00A735F5" w:rsidRDefault="00751243" w:rsidP="00AB138E">
      <w:pPr>
        <w:spacing w:line="360" w:lineRule="auto"/>
        <w:rPr>
          <w:rFonts w:asciiTheme="minorHAnsi" w:hAnsiTheme="minorHAnsi" w:cstheme="minorHAnsi"/>
          <w:color w:val="000000"/>
          <w:szCs w:val="24"/>
        </w:rPr>
      </w:pPr>
    </w:p>
    <w:p w14:paraId="0F123D4A" w14:textId="4268AD3A" w:rsidR="00834752" w:rsidRPr="00A735F5" w:rsidRDefault="00A32ACA" w:rsidP="00AB138E">
      <w:pPr>
        <w:spacing w:after="200" w:line="360" w:lineRule="auto"/>
        <w:rPr>
          <w:rFonts w:asciiTheme="minorHAnsi" w:hAnsiTheme="minorHAnsi" w:cstheme="minorHAnsi"/>
          <w:b/>
          <w:bCs/>
          <w:color w:val="000000"/>
          <w:szCs w:val="24"/>
        </w:rPr>
      </w:pPr>
      <w:r w:rsidRPr="00A735F5">
        <w:rPr>
          <w:rFonts w:asciiTheme="minorHAnsi" w:hAnsiTheme="minorHAnsi" w:cstheme="minorHAnsi"/>
          <w:b/>
          <w:bCs/>
          <w:color w:val="000000"/>
          <w:szCs w:val="24"/>
        </w:rPr>
        <w:t>Liter</w:t>
      </w:r>
      <w:r w:rsidR="00ED495C" w:rsidRPr="00A735F5">
        <w:rPr>
          <w:rFonts w:asciiTheme="minorHAnsi" w:hAnsiTheme="minorHAnsi" w:cstheme="minorHAnsi"/>
          <w:b/>
          <w:bCs/>
          <w:color w:val="000000"/>
          <w:szCs w:val="24"/>
        </w:rPr>
        <w:t>ature</w:t>
      </w:r>
    </w:p>
    <w:p w14:paraId="373B2DBF" w14:textId="724D7047" w:rsidR="00ED495C" w:rsidRPr="00A735F5" w:rsidRDefault="00AB138E" w:rsidP="00AB138E">
      <w:pPr>
        <w:spacing w:line="360" w:lineRule="auto"/>
        <w:rPr>
          <w:rFonts w:asciiTheme="minorHAnsi" w:hAnsiTheme="minorHAnsi" w:cstheme="minorHAnsi"/>
          <w:szCs w:val="24"/>
        </w:rPr>
      </w:pPr>
      <w:r w:rsidRPr="00A735F5">
        <w:rPr>
          <w:rFonts w:asciiTheme="minorHAnsi" w:hAnsiTheme="minorHAnsi" w:cstheme="minorHAnsi"/>
          <w:color w:val="000000"/>
          <w:szCs w:val="24"/>
        </w:rPr>
        <w:t xml:space="preserve">Existing literature evidences the value of supporting open innovation in the public sector (Mergel &amp; DeSouza, 2013), the value of Communities of Practice (CoPs) within formal development programmes (Smith et al. 2018), and the efficacy of design thinking in developing new service solutions in collaboration with users (Harhoff &amp; Lakhani, 2016). However, limited formal programmes are available to PSOs that enhance the capabilities required to develop solutions to their </w:t>
      </w:r>
      <w:r w:rsidR="00F04FD9" w:rsidRPr="00A735F5">
        <w:rPr>
          <w:rFonts w:asciiTheme="minorHAnsi" w:hAnsiTheme="minorHAnsi" w:cstheme="minorHAnsi"/>
          <w:color w:val="000000"/>
          <w:szCs w:val="24"/>
        </w:rPr>
        <w:t xml:space="preserve">current </w:t>
      </w:r>
      <w:r w:rsidRPr="00A735F5">
        <w:rPr>
          <w:rFonts w:asciiTheme="minorHAnsi" w:hAnsiTheme="minorHAnsi" w:cstheme="minorHAnsi"/>
          <w:color w:val="000000"/>
          <w:szCs w:val="24"/>
        </w:rPr>
        <w:t xml:space="preserve">challenges </w:t>
      </w:r>
      <w:r w:rsidRPr="00A735F5">
        <w:rPr>
          <w:rFonts w:asciiTheme="minorHAnsi" w:hAnsiTheme="minorHAnsi" w:cstheme="minorHAnsi"/>
          <w:szCs w:val="24"/>
        </w:rPr>
        <w:t>(</w:t>
      </w:r>
      <w:r w:rsidR="00EE196A">
        <w:rPr>
          <w:rFonts w:asciiTheme="minorHAnsi" w:hAnsiTheme="minorHAnsi" w:cstheme="minorHAnsi"/>
          <w:szCs w:val="24"/>
        </w:rPr>
        <w:t xml:space="preserve">Zheng et al, </w:t>
      </w:r>
      <w:r w:rsidRPr="00A735F5">
        <w:rPr>
          <w:rFonts w:asciiTheme="minorHAnsi" w:hAnsiTheme="minorHAnsi" w:cstheme="minorHAnsi"/>
          <w:szCs w:val="24"/>
        </w:rPr>
        <w:t>2022)</w:t>
      </w:r>
      <w:r w:rsidR="00ED495C" w:rsidRPr="00A735F5">
        <w:rPr>
          <w:rFonts w:asciiTheme="minorHAnsi" w:hAnsiTheme="minorHAnsi" w:cstheme="minorHAnsi"/>
          <w:szCs w:val="24"/>
        </w:rPr>
        <w:t xml:space="preserve">. Contemporary learning interventions with participative pedagogies aim to support participative approaches to learning as proposed by Hodgson and Reynolds (2005) whereby the learner co-constructs the ‘curriculum’ </w:t>
      </w:r>
      <w:r w:rsidR="00F04FD9" w:rsidRPr="00A735F5">
        <w:rPr>
          <w:rFonts w:asciiTheme="minorHAnsi" w:hAnsiTheme="minorHAnsi" w:cstheme="minorHAnsi"/>
          <w:szCs w:val="24"/>
        </w:rPr>
        <w:t xml:space="preserve">and </w:t>
      </w:r>
      <w:r w:rsidR="00ED495C" w:rsidRPr="00A735F5">
        <w:rPr>
          <w:rFonts w:asciiTheme="minorHAnsi" w:hAnsiTheme="minorHAnsi" w:cstheme="minorHAnsi"/>
          <w:szCs w:val="24"/>
        </w:rPr>
        <w:t xml:space="preserve">learning to enable a greater impact on </w:t>
      </w:r>
      <w:r w:rsidR="00F04FD9" w:rsidRPr="00A735F5">
        <w:rPr>
          <w:rFonts w:asciiTheme="minorHAnsi" w:hAnsiTheme="minorHAnsi" w:cstheme="minorHAnsi"/>
          <w:szCs w:val="24"/>
        </w:rPr>
        <w:t>the challenge they face within the workplace</w:t>
      </w:r>
      <w:r w:rsidR="00ED495C" w:rsidRPr="00A735F5">
        <w:rPr>
          <w:rFonts w:asciiTheme="minorHAnsi" w:hAnsiTheme="minorHAnsi" w:cstheme="minorHAnsi"/>
          <w:szCs w:val="24"/>
        </w:rPr>
        <w:t>. Such a collaborative and participative approach to learning relies on the dialogical creation of meaning and construction of knowledge (Hodgson and Watland, 2004).  Transformative learning seeks to stimulate a learner’s questioning of underlying assumptions and to restructure the way the learner sees the world and acts within it (Laros, 2017). </w:t>
      </w:r>
    </w:p>
    <w:p w14:paraId="31AA3FDE" w14:textId="77777777" w:rsidR="00AB138E" w:rsidRPr="00A735F5" w:rsidRDefault="00AB138E" w:rsidP="00AB138E">
      <w:pPr>
        <w:spacing w:line="360" w:lineRule="auto"/>
        <w:rPr>
          <w:rFonts w:asciiTheme="minorHAnsi" w:hAnsiTheme="minorHAnsi" w:cstheme="minorHAnsi"/>
          <w:szCs w:val="24"/>
        </w:rPr>
      </w:pPr>
    </w:p>
    <w:p w14:paraId="7456D5E5" w14:textId="236EEF7B" w:rsidR="00ED495C" w:rsidRPr="00A735F5" w:rsidRDefault="00ED495C" w:rsidP="00AB138E">
      <w:pPr>
        <w:spacing w:line="360" w:lineRule="auto"/>
        <w:rPr>
          <w:rFonts w:asciiTheme="minorHAnsi" w:hAnsiTheme="minorHAnsi" w:cstheme="minorHAnsi"/>
          <w:szCs w:val="24"/>
        </w:rPr>
      </w:pPr>
      <w:r w:rsidRPr="00A735F5">
        <w:rPr>
          <w:rFonts w:asciiTheme="minorHAnsi" w:hAnsiTheme="minorHAnsi" w:cstheme="minorHAnsi"/>
          <w:szCs w:val="24"/>
        </w:rPr>
        <w:t>Education in general is dominated by an approach to learning which sees knowledge as something to be acquired. Freire (1970) refers to this as the banking concept of education whereby education is an act of depositing, in which the students are the depositories, and the teacher is the depositor. It is important to highlight this as the dominant view because contemporary pedagogies resist the didactic approach we are used to in the classroom, i.e. the teacher or expert imparting knowledge to a less knowledgeable source (the student). They rely less on the tutor(s) as the “sage on the stage” but as the “guide on the side” (Jones and Steeples, 2002). Such approaches reduce learning to a form of transfer and tends to miss the socio-cultural environment the learner is in, whether that be at school or in the workplace. This view of learning sees knowledge as socially constructed.</w:t>
      </w:r>
      <w:r w:rsidR="008745DF">
        <w:rPr>
          <w:rFonts w:asciiTheme="minorHAnsi" w:hAnsiTheme="minorHAnsi" w:cstheme="minorHAnsi"/>
          <w:szCs w:val="24"/>
        </w:rPr>
        <w:t xml:space="preserve">  Howorth, Smith &amp; </w:t>
      </w:r>
      <w:r w:rsidR="008745DF">
        <w:rPr>
          <w:rFonts w:asciiTheme="minorHAnsi" w:hAnsiTheme="minorHAnsi" w:cstheme="minorHAnsi"/>
          <w:szCs w:val="24"/>
        </w:rPr>
        <w:lastRenderedPageBreak/>
        <w:t xml:space="preserve">Parkinson (2012) argued establishing learning communities are more effective at changing management practices.  This paper shall contribute to the nascent literature around learning communities as effective mechanisms for facilitating inter-organisational innovation netowrks. </w:t>
      </w:r>
    </w:p>
    <w:p w14:paraId="0426C2B7" w14:textId="77777777" w:rsidR="00AB138E" w:rsidRPr="00A735F5" w:rsidRDefault="00AB138E" w:rsidP="00AB138E">
      <w:pPr>
        <w:spacing w:line="360" w:lineRule="auto"/>
        <w:rPr>
          <w:rFonts w:asciiTheme="minorHAnsi" w:hAnsiTheme="minorHAnsi" w:cstheme="minorHAnsi"/>
          <w:szCs w:val="24"/>
        </w:rPr>
      </w:pPr>
    </w:p>
    <w:p w14:paraId="354EEF89" w14:textId="79B687B5" w:rsidR="00AB138E" w:rsidRPr="00A735F5" w:rsidRDefault="00AB138E" w:rsidP="00AB138E">
      <w:pPr>
        <w:spacing w:after="200" w:line="360" w:lineRule="auto"/>
        <w:rPr>
          <w:rFonts w:asciiTheme="minorHAnsi" w:hAnsiTheme="minorHAnsi" w:cstheme="minorHAnsi"/>
          <w:b/>
          <w:bCs/>
          <w:szCs w:val="24"/>
        </w:rPr>
      </w:pPr>
      <w:r w:rsidRPr="00A735F5">
        <w:rPr>
          <w:rFonts w:asciiTheme="minorHAnsi" w:hAnsiTheme="minorHAnsi" w:cstheme="minorHAnsi"/>
          <w:b/>
          <w:bCs/>
          <w:szCs w:val="24"/>
        </w:rPr>
        <w:t>The CEIC Pr</w:t>
      </w:r>
      <w:r w:rsidR="004C6C01">
        <w:rPr>
          <w:rFonts w:asciiTheme="minorHAnsi" w:hAnsiTheme="minorHAnsi" w:cstheme="minorHAnsi"/>
          <w:b/>
          <w:bCs/>
          <w:szCs w:val="24"/>
        </w:rPr>
        <w:t>o</w:t>
      </w:r>
      <w:r w:rsidRPr="00A735F5">
        <w:rPr>
          <w:rFonts w:asciiTheme="minorHAnsi" w:hAnsiTheme="minorHAnsi" w:cstheme="minorHAnsi"/>
          <w:b/>
          <w:bCs/>
          <w:szCs w:val="24"/>
        </w:rPr>
        <w:t>gramme</w:t>
      </w:r>
    </w:p>
    <w:p w14:paraId="6381B5E4" w14:textId="79D032FD" w:rsidR="00AB138E" w:rsidRPr="00A735F5" w:rsidRDefault="00AB138E" w:rsidP="00AB138E">
      <w:pPr>
        <w:spacing w:line="360" w:lineRule="auto"/>
        <w:rPr>
          <w:rFonts w:asciiTheme="minorHAnsi" w:hAnsiTheme="minorHAnsi" w:cstheme="minorHAnsi"/>
          <w:szCs w:val="24"/>
        </w:rPr>
      </w:pPr>
      <w:r w:rsidRPr="00A735F5">
        <w:rPr>
          <w:rFonts w:asciiTheme="minorHAnsi" w:hAnsiTheme="minorHAnsi" w:cstheme="minorHAnsi"/>
          <w:color w:val="000000"/>
          <w:szCs w:val="24"/>
          <w:shd w:val="clear" w:color="auto" w:fill="FFFFFF"/>
        </w:rPr>
        <w:t>The ‘Circular Economy Innovation Communities’ project is informed by seminal work for developing dynamic capabilities (Teece, Pisano and Shuen, 1997; Teece, 2007)</w:t>
      </w:r>
      <w:r w:rsidRPr="00A735F5">
        <w:rPr>
          <w:rFonts w:asciiTheme="minorHAnsi" w:hAnsiTheme="minorHAnsi" w:cstheme="minorHAnsi"/>
          <w:color w:val="000000"/>
          <w:szCs w:val="24"/>
          <w:vertAlign w:val="superscript"/>
        </w:rPr>
        <w:t xml:space="preserve"> </w:t>
      </w:r>
      <w:r w:rsidRPr="00A735F5">
        <w:rPr>
          <w:rFonts w:asciiTheme="minorHAnsi" w:hAnsiTheme="minorHAnsi" w:cstheme="minorHAnsi"/>
          <w:color w:val="000000"/>
          <w:szCs w:val="24"/>
        </w:rPr>
        <w:t xml:space="preserve">through the development of inter-organisation CoPs that facilitate innovation and collaborative regional working. CEIC builds on concepts proved within two Welsh Government funded predecessor projects, Open Innovation Communities of Practice (OICoP) and Developing Innovation Performance of Firms and Supply Chain Clusters (DIPFSCC). </w:t>
      </w:r>
      <w:r w:rsidR="00C0005B" w:rsidRPr="00A735F5">
        <w:rPr>
          <w:rFonts w:asciiTheme="minorHAnsi" w:hAnsiTheme="minorHAnsi" w:cstheme="minorHAnsi"/>
          <w:color w:val="000000" w:themeColor="text1"/>
          <w:szCs w:val="24"/>
        </w:rPr>
        <w:t xml:space="preserve">The CEIC programme </w:t>
      </w:r>
      <w:r w:rsidR="00A735F5">
        <w:rPr>
          <w:rFonts w:asciiTheme="minorHAnsi" w:hAnsiTheme="minorHAnsi" w:cstheme="minorHAnsi"/>
          <w:color w:val="000000" w:themeColor="text1"/>
          <w:szCs w:val="24"/>
        </w:rPr>
        <w:t xml:space="preserve">(Walpole et al, 2022) </w:t>
      </w:r>
      <w:r w:rsidR="00C0005B" w:rsidRPr="00A735F5">
        <w:rPr>
          <w:rFonts w:asciiTheme="minorHAnsi" w:hAnsiTheme="minorHAnsi" w:cstheme="minorHAnsi"/>
          <w:color w:val="000000" w:themeColor="text1"/>
          <w:szCs w:val="24"/>
        </w:rPr>
        <w:t>launched in March 2020</w:t>
      </w:r>
      <w:r w:rsidR="00A735F5">
        <w:rPr>
          <w:rFonts w:asciiTheme="minorHAnsi" w:hAnsiTheme="minorHAnsi" w:cstheme="minorHAnsi"/>
          <w:color w:val="000000" w:themeColor="text1"/>
          <w:szCs w:val="24"/>
        </w:rPr>
        <w:t xml:space="preserve"> and </w:t>
      </w:r>
      <w:r w:rsidR="00C0005B" w:rsidRPr="00A735F5">
        <w:rPr>
          <w:rFonts w:asciiTheme="minorHAnsi" w:hAnsiTheme="minorHAnsi" w:cstheme="minorHAnsi"/>
          <w:color w:val="000000" w:themeColor="text1"/>
          <w:szCs w:val="24"/>
        </w:rPr>
        <w:t xml:space="preserve">is EU funded to create inter-organisational regional innovation networks or Communities of Practice (CoP) in the Cardiff Capital City Region and the Swansea Bay Region.  The CEIC programme lasts approximately ten months and introduces participants to circular economy principles and innovation tools and techniques.  Each cohort forms a CoP around a theme, such as ‘decarbonation of housing stock’ and participating practitioners are </w:t>
      </w:r>
      <w:r w:rsidRPr="00A735F5">
        <w:rPr>
          <w:rFonts w:asciiTheme="minorHAnsi" w:hAnsiTheme="minorHAnsi" w:cstheme="minorHAnsi"/>
          <w:color w:val="000000"/>
          <w:szCs w:val="24"/>
        </w:rPr>
        <w:t>support</w:t>
      </w:r>
      <w:r w:rsidR="00C0005B" w:rsidRPr="00A735F5">
        <w:rPr>
          <w:rFonts w:asciiTheme="minorHAnsi" w:hAnsiTheme="minorHAnsi" w:cstheme="minorHAnsi"/>
          <w:color w:val="000000"/>
          <w:szCs w:val="24"/>
        </w:rPr>
        <w:t>ed</w:t>
      </w:r>
      <w:r w:rsidRPr="00A735F5">
        <w:rPr>
          <w:rFonts w:asciiTheme="minorHAnsi" w:hAnsiTheme="minorHAnsi" w:cstheme="minorHAnsi"/>
          <w:color w:val="000000"/>
          <w:szCs w:val="24"/>
        </w:rPr>
        <w:t xml:space="preserve"> to co-</w:t>
      </w:r>
      <w:r w:rsidR="00C0005B" w:rsidRPr="00A735F5">
        <w:rPr>
          <w:rFonts w:asciiTheme="minorHAnsi" w:hAnsiTheme="minorHAnsi" w:cstheme="minorHAnsi"/>
          <w:color w:val="000000"/>
          <w:szCs w:val="24"/>
        </w:rPr>
        <w:t xml:space="preserve">produce </w:t>
      </w:r>
      <w:r w:rsidRPr="00A735F5">
        <w:rPr>
          <w:rFonts w:asciiTheme="minorHAnsi" w:hAnsiTheme="minorHAnsi" w:cstheme="minorHAnsi"/>
          <w:color w:val="000000"/>
          <w:szCs w:val="24"/>
        </w:rPr>
        <w:t xml:space="preserve">new service solutions that achieve Circular Economy (CE) impact within the regions. Social learning within multi-actor innovation networks is identified as crucial for addressing sustainability in regional development contexts, allowing practitioners to observe a diverse range of perspectives, interests and values to instigate sustainable practices and policies (Sol, Beers and Wals, 2013). </w:t>
      </w:r>
      <w:r w:rsidRPr="00A735F5">
        <w:rPr>
          <w:rFonts w:asciiTheme="minorHAnsi" w:hAnsiTheme="minorHAnsi" w:cstheme="minorHAnsi"/>
          <w:color w:val="000000"/>
          <w:szCs w:val="24"/>
          <w:shd w:val="clear" w:color="auto" w:fill="FFFFFF"/>
        </w:rPr>
        <w:t>CEIC participants co-</w:t>
      </w:r>
      <w:r w:rsidR="0007109C" w:rsidRPr="00A735F5">
        <w:rPr>
          <w:rFonts w:asciiTheme="minorHAnsi" w:hAnsiTheme="minorHAnsi" w:cstheme="minorHAnsi"/>
          <w:color w:val="000000"/>
          <w:szCs w:val="24"/>
          <w:shd w:val="clear" w:color="auto" w:fill="FFFFFF"/>
        </w:rPr>
        <w:t>produce new</w:t>
      </w:r>
      <w:r w:rsidRPr="00A735F5">
        <w:rPr>
          <w:rFonts w:asciiTheme="minorHAnsi" w:hAnsiTheme="minorHAnsi" w:cstheme="minorHAnsi"/>
          <w:color w:val="000000"/>
          <w:szCs w:val="24"/>
          <w:shd w:val="clear" w:color="auto" w:fill="FFFFFF"/>
        </w:rPr>
        <w:t xml:space="preserve"> service solutions within the region wide innovation CoPs facilitated by the programme, that leverage economies of scale and knowledge, whilst enhancing collaborative regional working partnerships.</w:t>
      </w:r>
    </w:p>
    <w:p w14:paraId="6ABE98D1" w14:textId="2CF9748D" w:rsidR="00B91065" w:rsidRPr="00A735F5" w:rsidRDefault="00B91065" w:rsidP="00AB138E">
      <w:pPr>
        <w:spacing w:line="360" w:lineRule="auto"/>
        <w:rPr>
          <w:rFonts w:asciiTheme="minorHAnsi" w:hAnsiTheme="minorHAnsi" w:cstheme="minorHAnsi"/>
          <w:szCs w:val="24"/>
        </w:rPr>
      </w:pPr>
    </w:p>
    <w:p w14:paraId="007A3665" w14:textId="34A74831" w:rsidR="00B91065" w:rsidRPr="004C6C01" w:rsidRDefault="004C6C01" w:rsidP="00AB138E">
      <w:pPr>
        <w:spacing w:line="360" w:lineRule="auto"/>
        <w:rPr>
          <w:rFonts w:asciiTheme="minorHAnsi" w:hAnsiTheme="minorHAnsi" w:cstheme="minorHAnsi"/>
          <w:b/>
          <w:bCs/>
          <w:szCs w:val="24"/>
        </w:rPr>
      </w:pPr>
      <w:r w:rsidRPr="004C6C01">
        <w:rPr>
          <w:rFonts w:asciiTheme="minorHAnsi" w:hAnsiTheme="minorHAnsi" w:cstheme="minorHAnsi"/>
          <w:b/>
          <w:bCs/>
          <w:szCs w:val="24"/>
        </w:rPr>
        <w:t>Methodology</w:t>
      </w:r>
    </w:p>
    <w:p w14:paraId="3B723977" w14:textId="0945F8D8" w:rsidR="00F07272" w:rsidRPr="00F328D8" w:rsidRDefault="00F07272" w:rsidP="00F328D8">
      <w:pPr>
        <w:autoSpaceDE w:val="0"/>
        <w:autoSpaceDN w:val="0"/>
        <w:adjustRightInd w:val="0"/>
        <w:spacing w:line="360" w:lineRule="auto"/>
        <w:jc w:val="both"/>
        <w:rPr>
          <w:rFonts w:asciiTheme="minorHAnsi" w:hAnsiTheme="minorHAnsi" w:cstheme="minorHAnsi"/>
          <w:bCs/>
          <w:color w:val="000000" w:themeColor="text1"/>
          <w:szCs w:val="24"/>
        </w:rPr>
      </w:pPr>
      <w:r w:rsidRPr="00F07272">
        <w:rPr>
          <w:rFonts w:asciiTheme="minorHAnsi" w:hAnsiTheme="minorHAnsi" w:cstheme="minorHAnsi"/>
          <w:bCs/>
          <w:color w:val="000000" w:themeColor="text1"/>
          <w:szCs w:val="24"/>
        </w:rPr>
        <w:t xml:space="preserve">The research question </w:t>
      </w:r>
      <w:r w:rsidR="00C469D2">
        <w:rPr>
          <w:rFonts w:asciiTheme="minorHAnsi" w:hAnsiTheme="minorHAnsi" w:cstheme="minorHAnsi"/>
          <w:bCs/>
          <w:color w:val="000000" w:themeColor="text1"/>
          <w:szCs w:val="24"/>
        </w:rPr>
        <w:t>i</w:t>
      </w:r>
      <w:r w:rsidRPr="00F07272">
        <w:rPr>
          <w:rFonts w:asciiTheme="minorHAnsi" w:hAnsiTheme="minorHAnsi" w:cstheme="minorHAnsi"/>
          <w:bCs/>
          <w:color w:val="000000" w:themeColor="text1"/>
          <w:szCs w:val="24"/>
        </w:rPr>
        <w:t>s “</w:t>
      </w:r>
      <w:r w:rsidR="00CF6755" w:rsidRPr="00CF6755">
        <w:rPr>
          <w:rFonts w:asciiTheme="minorHAnsi" w:hAnsiTheme="minorHAnsi" w:cstheme="minorHAnsi"/>
          <w:bCs/>
          <w:i/>
          <w:iCs/>
          <w:color w:val="000000" w:themeColor="text1"/>
          <w:szCs w:val="24"/>
        </w:rPr>
        <w:t xml:space="preserve">does </w:t>
      </w:r>
      <w:r w:rsidRPr="00C469D2">
        <w:rPr>
          <w:rFonts w:asciiTheme="minorHAnsi" w:eastAsia="KaiTi" w:hAnsiTheme="minorHAnsi" w:cstheme="minorHAnsi"/>
          <w:i/>
          <w:iCs/>
          <w:kern w:val="2"/>
          <w:szCs w:val="24"/>
          <w:lang w:val="en-US"/>
        </w:rPr>
        <w:t xml:space="preserve">a PCoP approach develop the innovation skills of practitioners and support the development of new circular economy processes and </w:t>
      </w:r>
      <w:r w:rsidRPr="00C469D2">
        <w:rPr>
          <w:rFonts w:asciiTheme="minorHAnsi" w:eastAsia="KaiTi" w:hAnsiTheme="minorHAnsi" w:cstheme="minorHAnsi"/>
          <w:i/>
          <w:iCs/>
          <w:kern w:val="2"/>
          <w:szCs w:val="24"/>
          <w:lang w:val="en-US"/>
        </w:rPr>
        <w:lastRenderedPageBreak/>
        <w:t>practices (new service solutions)?</w:t>
      </w:r>
      <w:r w:rsidRPr="00F07272">
        <w:rPr>
          <w:rFonts w:asciiTheme="minorHAnsi" w:hAnsiTheme="minorHAnsi" w:cstheme="minorHAnsi"/>
          <w:bCs/>
          <w:color w:val="000000" w:themeColor="text1"/>
          <w:szCs w:val="24"/>
        </w:rPr>
        <w:t xml:space="preserve">”. To answer the question a </w:t>
      </w:r>
      <w:r w:rsidR="00C469D2">
        <w:rPr>
          <w:rFonts w:asciiTheme="minorHAnsi" w:hAnsiTheme="minorHAnsi" w:cstheme="minorHAnsi"/>
          <w:bCs/>
          <w:color w:val="000000" w:themeColor="text1"/>
          <w:szCs w:val="24"/>
        </w:rPr>
        <w:t xml:space="preserve">mixed method </w:t>
      </w:r>
      <w:r w:rsidRPr="00F07272">
        <w:rPr>
          <w:rFonts w:asciiTheme="minorHAnsi" w:hAnsiTheme="minorHAnsi" w:cstheme="minorHAnsi"/>
          <w:bCs/>
          <w:color w:val="000000" w:themeColor="text1"/>
          <w:szCs w:val="24"/>
        </w:rPr>
        <w:t xml:space="preserve">research methodology was adopted by developing case studies from the groups developing new CE processes (Yin, 2018; Eisenhardt, 1989) within an action research framework (Somekh, 2005). </w:t>
      </w:r>
      <w:r w:rsidR="00C469D2">
        <w:rPr>
          <w:rFonts w:asciiTheme="minorHAnsi" w:hAnsiTheme="minorHAnsi" w:cstheme="minorHAnsi"/>
          <w:bCs/>
          <w:color w:val="000000" w:themeColor="text1"/>
          <w:szCs w:val="24"/>
        </w:rPr>
        <w:t xml:space="preserve">The study gathered survey data from participants prior to their participation, during and on exit from the programme.  The study also gathered qualitiative data from semi-structured interviews and foucs groups which was augmented with presentations from participant groups.  </w:t>
      </w:r>
      <w:r w:rsidRPr="00F07272">
        <w:rPr>
          <w:rFonts w:asciiTheme="minorHAnsi" w:hAnsiTheme="minorHAnsi" w:cstheme="minorHAnsi"/>
          <w:bCs/>
          <w:color w:val="000000" w:themeColor="text1"/>
          <w:szCs w:val="24"/>
        </w:rPr>
        <w:t>T</w:t>
      </w:r>
      <w:r w:rsidR="00C469D2">
        <w:rPr>
          <w:rFonts w:asciiTheme="minorHAnsi" w:hAnsiTheme="minorHAnsi" w:cstheme="minorHAnsi"/>
          <w:bCs/>
          <w:color w:val="000000" w:themeColor="text1"/>
          <w:szCs w:val="24"/>
        </w:rPr>
        <w:t xml:space="preserve">his study will draw on data </w:t>
      </w:r>
      <w:r w:rsidR="00C469D2" w:rsidRPr="00F328D8">
        <w:rPr>
          <w:rFonts w:asciiTheme="minorHAnsi" w:hAnsiTheme="minorHAnsi" w:cstheme="minorHAnsi"/>
          <w:bCs/>
          <w:color w:val="000000" w:themeColor="text1"/>
          <w:szCs w:val="24"/>
        </w:rPr>
        <w:t xml:space="preserve">from five participant groups and focus on the presentation of one group to provide granular data on the impact of the programme on the five indiviuals within the group as well as the outputs and outcomes for the in depth group case study.  </w:t>
      </w:r>
      <w:r w:rsidR="00F328D8" w:rsidRPr="00F328D8">
        <w:rPr>
          <w:rFonts w:asciiTheme="minorHAnsi" w:hAnsiTheme="minorHAnsi" w:cstheme="minorHAnsi"/>
          <w:bCs/>
          <w:color w:val="000000" w:themeColor="text1"/>
          <w:szCs w:val="24"/>
        </w:rPr>
        <w:t>The participants presentations (</w:t>
      </w:r>
      <w:r w:rsidRPr="00F328D8">
        <w:rPr>
          <w:rFonts w:asciiTheme="minorHAnsi" w:hAnsiTheme="minorHAnsi" w:cstheme="minorHAnsi"/>
          <w:bCs/>
          <w:color w:val="000000" w:themeColor="text1"/>
          <w:szCs w:val="24"/>
        </w:rPr>
        <w:t>secondary documents</w:t>
      </w:r>
      <w:r w:rsidR="00F328D8" w:rsidRPr="00F328D8">
        <w:rPr>
          <w:rFonts w:asciiTheme="minorHAnsi" w:hAnsiTheme="minorHAnsi" w:cstheme="minorHAnsi"/>
          <w:bCs/>
          <w:color w:val="000000" w:themeColor="text1"/>
          <w:szCs w:val="24"/>
        </w:rPr>
        <w:t>)</w:t>
      </w:r>
      <w:r w:rsidRPr="00F328D8">
        <w:rPr>
          <w:rFonts w:asciiTheme="minorHAnsi" w:hAnsiTheme="minorHAnsi" w:cstheme="minorHAnsi"/>
          <w:bCs/>
          <w:color w:val="000000" w:themeColor="text1"/>
          <w:szCs w:val="24"/>
        </w:rPr>
        <w:t xml:space="preserve"> enabled the triangulation and crosschecking of data sources (Yin, 2018; Eisenhardt, 1989), and increased data robustness. Thematic content analysis was conducted (Braun and Clarke, 2006) with key themes generated, actively categorised (Grodal, Anteby and Holm, 2021) and confirmed within the research team. </w:t>
      </w:r>
      <w:r w:rsidR="00F328D8" w:rsidRPr="00F328D8">
        <w:rPr>
          <w:rFonts w:asciiTheme="minorHAnsi" w:hAnsiTheme="minorHAnsi" w:cstheme="minorHAnsi"/>
          <w:bCs/>
          <w:color w:val="000000" w:themeColor="text1"/>
          <w:szCs w:val="24"/>
        </w:rPr>
        <w:t>The data was collected over a year long period, between the autumn of 2021 and 2022.</w:t>
      </w:r>
    </w:p>
    <w:p w14:paraId="1DAFB122" w14:textId="77777777" w:rsidR="00F07272" w:rsidRDefault="00F07272" w:rsidP="00AB138E">
      <w:pPr>
        <w:spacing w:line="360" w:lineRule="auto"/>
        <w:rPr>
          <w:rFonts w:asciiTheme="minorHAnsi" w:hAnsiTheme="minorHAnsi" w:cstheme="minorHAnsi"/>
          <w:szCs w:val="24"/>
        </w:rPr>
      </w:pPr>
    </w:p>
    <w:p w14:paraId="7ED3AAAC" w14:textId="77777777" w:rsidR="004C6C01" w:rsidRPr="00A735F5" w:rsidRDefault="004C6C01" w:rsidP="00AB138E">
      <w:pPr>
        <w:spacing w:line="360" w:lineRule="auto"/>
        <w:rPr>
          <w:rFonts w:asciiTheme="minorHAnsi" w:hAnsiTheme="minorHAnsi" w:cstheme="minorHAnsi"/>
          <w:szCs w:val="24"/>
        </w:rPr>
      </w:pPr>
    </w:p>
    <w:p w14:paraId="54B1A20E" w14:textId="3DA2CD73" w:rsidR="00B91065" w:rsidRPr="00A735F5" w:rsidRDefault="00B91065" w:rsidP="00AB138E">
      <w:pPr>
        <w:spacing w:line="360" w:lineRule="auto"/>
        <w:rPr>
          <w:rFonts w:asciiTheme="minorHAnsi" w:hAnsiTheme="minorHAnsi" w:cstheme="minorHAnsi"/>
          <w:szCs w:val="24"/>
        </w:rPr>
      </w:pPr>
    </w:p>
    <w:p w14:paraId="29B090DE" w14:textId="783CDCE0" w:rsidR="00B91065" w:rsidRPr="00A735F5" w:rsidRDefault="00B91065" w:rsidP="00AB138E">
      <w:pPr>
        <w:spacing w:line="360" w:lineRule="auto"/>
        <w:rPr>
          <w:rFonts w:asciiTheme="minorHAnsi" w:hAnsiTheme="minorHAnsi" w:cstheme="minorHAnsi"/>
          <w:szCs w:val="24"/>
        </w:rPr>
      </w:pPr>
    </w:p>
    <w:p w14:paraId="51F26DEB" w14:textId="3F78A257" w:rsidR="0095626C" w:rsidRPr="00A735F5" w:rsidRDefault="0095626C" w:rsidP="00AB138E">
      <w:pPr>
        <w:spacing w:line="360" w:lineRule="auto"/>
        <w:rPr>
          <w:rFonts w:asciiTheme="minorHAnsi" w:hAnsiTheme="minorHAnsi" w:cstheme="minorHAnsi"/>
          <w:szCs w:val="24"/>
        </w:rPr>
      </w:pPr>
    </w:p>
    <w:p w14:paraId="11F8AF10" w14:textId="0C60A8EC" w:rsidR="005F114C" w:rsidRPr="00A735F5" w:rsidRDefault="005F114C" w:rsidP="00AB138E">
      <w:pPr>
        <w:spacing w:line="360" w:lineRule="auto"/>
        <w:rPr>
          <w:rFonts w:asciiTheme="minorHAnsi" w:hAnsiTheme="minorHAnsi" w:cstheme="minorHAnsi"/>
          <w:szCs w:val="24"/>
        </w:rPr>
      </w:pPr>
    </w:p>
    <w:p w14:paraId="733D0A5F" w14:textId="07C3D7E6" w:rsidR="005F114C" w:rsidRPr="00A735F5" w:rsidRDefault="005F114C" w:rsidP="00AB138E">
      <w:pPr>
        <w:spacing w:line="360" w:lineRule="auto"/>
        <w:rPr>
          <w:rFonts w:asciiTheme="minorHAnsi" w:hAnsiTheme="minorHAnsi" w:cstheme="minorHAnsi"/>
          <w:szCs w:val="24"/>
        </w:rPr>
      </w:pPr>
    </w:p>
    <w:p w14:paraId="7F3E4FEB" w14:textId="148CE183" w:rsidR="005F114C" w:rsidRPr="00A735F5" w:rsidRDefault="005F114C" w:rsidP="00AB138E">
      <w:pPr>
        <w:spacing w:line="360" w:lineRule="auto"/>
        <w:rPr>
          <w:rFonts w:asciiTheme="minorHAnsi" w:hAnsiTheme="minorHAnsi" w:cstheme="minorHAnsi"/>
          <w:szCs w:val="24"/>
        </w:rPr>
      </w:pPr>
    </w:p>
    <w:p w14:paraId="7BB40ADF" w14:textId="4511F443" w:rsidR="005F114C" w:rsidRPr="00A735F5" w:rsidRDefault="005F114C" w:rsidP="00AB138E">
      <w:pPr>
        <w:spacing w:line="360" w:lineRule="auto"/>
        <w:rPr>
          <w:rFonts w:asciiTheme="minorHAnsi" w:hAnsiTheme="minorHAnsi" w:cstheme="minorHAnsi"/>
          <w:szCs w:val="24"/>
        </w:rPr>
      </w:pPr>
    </w:p>
    <w:p w14:paraId="5CD493DE" w14:textId="77777777" w:rsidR="005F114C" w:rsidRPr="00A735F5" w:rsidRDefault="005F114C" w:rsidP="00AB138E">
      <w:pPr>
        <w:spacing w:line="360" w:lineRule="auto"/>
        <w:rPr>
          <w:rFonts w:asciiTheme="minorHAnsi" w:hAnsiTheme="minorHAnsi" w:cstheme="minorHAnsi"/>
          <w:szCs w:val="24"/>
        </w:rPr>
      </w:pPr>
    </w:p>
    <w:p w14:paraId="3FB84B8B" w14:textId="77777777" w:rsidR="00757CF0" w:rsidRDefault="00757CF0" w:rsidP="00AB138E">
      <w:pPr>
        <w:spacing w:line="360" w:lineRule="auto"/>
        <w:rPr>
          <w:rFonts w:asciiTheme="minorHAnsi" w:hAnsiTheme="minorHAnsi" w:cstheme="minorHAnsi"/>
          <w:b/>
          <w:szCs w:val="24"/>
        </w:rPr>
      </w:pPr>
    </w:p>
    <w:p w14:paraId="003F04CF" w14:textId="77777777" w:rsidR="00757CF0" w:rsidRDefault="00757CF0" w:rsidP="00AB138E">
      <w:pPr>
        <w:spacing w:line="360" w:lineRule="auto"/>
        <w:rPr>
          <w:rFonts w:asciiTheme="minorHAnsi" w:hAnsiTheme="minorHAnsi" w:cstheme="minorHAnsi"/>
          <w:b/>
          <w:szCs w:val="24"/>
        </w:rPr>
      </w:pPr>
    </w:p>
    <w:p w14:paraId="2AC99A65" w14:textId="77777777" w:rsidR="00757CF0" w:rsidRDefault="00757CF0" w:rsidP="00AB138E">
      <w:pPr>
        <w:spacing w:line="360" w:lineRule="auto"/>
        <w:rPr>
          <w:rFonts w:asciiTheme="minorHAnsi" w:hAnsiTheme="minorHAnsi" w:cstheme="minorHAnsi"/>
          <w:b/>
          <w:szCs w:val="24"/>
        </w:rPr>
      </w:pPr>
    </w:p>
    <w:p w14:paraId="6C681E60" w14:textId="77777777" w:rsidR="00757CF0" w:rsidRDefault="00757CF0" w:rsidP="00AB138E">
      <w:pPr>
        <w:spacing w:line="360" w:lineRule="auto"/>
        <w:rPr>
          <w:rFonts w:asciiTheme="minorHAnsi" w:hAnsiTheme="minorHAnsi" w:cstheme="minorHAnsi"/>
          <w:b/>
          <w:szCs w:val="24"/>
        </w:rPr>
      </w:pPr>
    </w:p>
    <w:p w14:paraId="5F740A53" w14:textId="77777777" w:rsidR="00757CF0" w:rsidRDefault="00757CF0" w:rsidP="00AB138E">
      <w:pPr>
        <w:spacing w:line="360" w:lineRule="auto"/>
        <w:rPr>
          <w:rFonts w:asciiTheme="minorHAnsi" w:hAnsiTheme="minorHAnsi" w:cstheme="minorHAnsi"/>
          <w:b/>
          <w:szCs w:val="24"/>
        </w:rPr>
      </w:pPr>
    </w:p>
    <w:p w14:paraId="49FAE6D2" w14:textId="77777777" w:rsidR="00757CF0" w:rsidRDefault="00757CF0" w:rsidP="00AB138E">
      <w:pPr>
        <w:spacing w:line="360" w:lineRule="auto"/>
        <w:rPr>
          <w:rFonts w:asciiTheme="minorHAnsi" w:hAnsiTheme="minorHAnsi" w:cstheme="minorHAnsi"/>
          <w:b/>
          <w:szCs w:val="24"/>
        </w:rPr>
      </w:pPr>
    </w:p>
    <w:p w14:paraId="62F44F66" w14:textId="01BCFB22" w:rsidR="007A3557" w:rsidRPr="00A735F5" w:rsidRDefault="00757CF0" w:rsidP="00AB138E">
      <w:pPr>
        <w:spacing w:line="360" w:lineRule="auto"/>
        <w:rPr>
          <w:rFonts w:asciiTheme="minorHAnsi" w:hAnsiTheme="minorHAnsi" w:cstheme="minorHAnsi"/>
          <w:szCs w:val="24"/>
        </w:rPr>
      </w:pPr>
      <w:r>
        <w:rPr>
          <w:rFonts w:asciiTheme="minorHAnsi" w:hAnsiTheme="minorHAnsi" w:cstheme="minorHAnsi"/>
          <w:b/>
          <w:szCs w:val="24"/>
        </w:rPr>
        <w:lastRenderedPageBreak/>
        <w:t>References</w:t>
      </w:r>
    </w:p>
    <w:p w14:paraId="6DEAD2F5" w14:textId="77777777" w:rsidR="00E618BA" w:rsidRPr="00757CF0" w:rsidRDefault="00E618BA" w:rsidP="00757CF0">
      <w:pPr>
        <w:spacing w:line="276" w:lineRule="auto"/>
        <w:rPr>
          <w:rStyle w:val="Hyperlink"/>
          <w:rFonts w:asciiTheme="minorHAnsi" w:hAnsiTheme="minorHAnsi" w:cstheme="minorHAnsi"/>
          <w:sz w:val="22"/>
          <w:szCs w:val="22"/>
        </w:rPr>
      </w:pPr>
      <w:r w:rsidRPr="00757CF0">
        <w:rPr>
          <w:rFonts w:asciiTheme="minorHAnsi" w:hAnsiTheme="minorHAnsi" w:cstheme="minorHAnsi"/>
          <w:sz w:val="22"/>
          <w:szCs w:val="22"/>
        </w:rPr>
        <w:t xml:space="preserve">Arundel, A., Bloch, C., &amp; Ferguson, B. (2019) Advancing innovation in the public sector: Aligning innovation measurement with policy goals. </w:t>
      </w:r>
      <w:r w:rsidRPr="00757CF0">
        <w:rPr>
          <w:rFonts w:asciiTheme="minorHAnsi" w:hAnsiTheme="minorHAnsi" w:cstheme="minorHAnsi"/>
          <w:i/>
          <w:iCs/>
          <w:sz w:val="22"/>
          <w:szCs w:val="22"/>
        </w:rPr>
        <w:t>Research Policy, 48</w:t>
      </w:r>
      <w:r w:rsidRPr="00757CF0">
        <w:rPr>
          <w:rFonts w:asciiTheme="minorHAnsi" w:hAnsiTheme="minorHAnsi" w:cstheme="minorHAnsi"/>
          <w:sz w:val="22"/>
          <w:szCs w:val="22"/>
        </w:rPr>
        <w:t>, 789-798.</w:t>
      </w:r>
      <w:hyperlink r:id="rId6" w:history="1">
        <w:r w:rsidRPr="00757CF0">
          <w:rPr>
            <w:rFonts w:asciiTheme="minorHAnsi" w:hAnsiTheme="minorHAnsi" w:cstheme="minorHAnsi"/>
            <w:sz w:val="22"/>
            <w:szCs w:val="22"/>
          </w:rPr>
          <w:t xml:space="preserve"> </w:t>
        </w:r>
      </w:hyperlink>
    </w:p>
    <w:p w14:paraId="52400560" w14:textId="77777777" w:rsidR="00E618BA" w:rsidRPr="00757CF0" w:rsidRDefault="00E618BA" w:rsidP="00757CF0">
      <w:pPr>
        <w:spacing w:line="276" w:lineRule="auto"/>
        <w:rPr>
          <w:rFonts w:asciiTheme="minorHAnsi" w:hAnsiTheme="minorHAnsi" w:cstheme="minorHAnsi"/>
          <w:sz w:val="22"/>
          <w:szCs w:val="22"/>
        </w:rPr>
      </w:pPr>
      <w:r w:rsidRPr="00757CF0">
        <w:rPr>
          <w:rFonts w:asciiTheme="minorHAnsi" w:hAnsiTheme="minorHAnsi" w:cstheme="minorHAnsi"/>
          <w:sz w:val="22"/>
          <w:szCs w:val="22"/>
        </w:rPr>
        <w:t xml:space="preserve">Cameron, E., &amp; Green, M. (2020) </w:t>
      </w:r>
      <w:r w:rsidRPr="00757CF0">
        <w:rPr>
          <w:rFonts w:asciiTheme="minorHAnsi" w:hAnsiTheme="minorHAnsi" w:cstheme="minorHAnsi"/>
          <w:i/>
          <w:sz w:val="22"/>
          <w:szCs w:val="22"/>
        </w:rPr>
        <w:t xml:space="preserve">Making Sense of Change Management. </w:t>
      </w:r>
      <w:r w:rsidRPr="00757CF0">
        <w:rPr>
          <w:rFonts w:asciiTheme="minorHAnsi" w:hAnsiTheme="minorHAnsi" w:cstheme="minorHAnsi"/>
          <w:iCs/>
          <w:sz w:val="22"/>
          <w:szCs w:val="22"/>
        </w:rPr>
        <w:t>London:</w:t>
      </w:r>
      <w:r w:rsidRPr="00757CF0">
        <w:rPr>
          <w:rFonts w:asciiTheme="minorHAnsi" w:hAnsiTheme="minorHAnsi" w:cstheme="minorHAnsi"/>
          <w:i/>
          <w:sz w:val="22"/>
          <w:szCs w:val="22"/>
        </w:rPr>
        <w:t xml:space="preserve"> </w:t>
      </w:r>
      <w:r w:rsidRPr="00757CF0">
        <w:rPr>
          <w:rFonts w:asciiTheme="minorHAnsi" w:hAnsiTheme="minorHAnsi" w:cstheme="minorHAnsi"/>
          <w:sz w:val="22"/>
          <w:szCs w:val="22"/>
        </w:rPr>
        <w:t>Kogan Page.</w:t>
      </w:r>
    </w:p>
    <w:p w14:paraId="3FEAB887" w14:textId="1BA093E7" w:rsidR="00757CF0" w:rsidRPr="00757CF0" w:rsidRDefault="00757CF0" w:rsidP="00757CF0">
      <w:pPr>
        <w:pStyle w:val="Body"/>
        <w:spacing w:line="276" w:lineRule="auto"/>
        <w:ind w:left="720" w:hanging="720"/>
        <w:rPr>
          <w:rStyle w:val="Hyperlink3"/>
          <w:rFonts w:asciiTheme="minorHAnsi" w:hAnsiTheme="minorHAnsi" w:cstheme="minorHAnsi"/>
          <w:sz w:val="22"/>
          <w:szCs w:val="22"/>
        </w:rPr>
      </w:pPr>
      <w:r w:rsidRPr="00757CF0">
        <w:rPr>
          <w:rStyle w:val="Hyperlink3"/>
          <w:rFonts w:asciiTheme="minorHAnsi" w:hAnsiTheme="minorHAnsi" w:cstheme="minorHAnsi"/>
          <w:sz w:val="22"/>
          <w:szCs w:val="22"/>
          <w:lang w:val="de-DE"/>
        </w:rPr>
        <w:t xml:space="preserve">Eisenhardt, K. (1989). Agency Theory: An Assessment and Review. </w:t>
      </w:r>
      <w:r w:rsidRPr="00757CF0">
        <w:rPr>
          <w:rStyle w:val="Hyperlink4"/>
          <w:rFonts w:asciiTheme="minorHAnsi" w:hAnsiTheme="minorHAnsi" w:cstheme="minorHAnsi"/>
          <w:sz w:val="22"/>
          <w:szCs w:val="22"/>
          <w:lang w:val="en-US"/>
        </w:rPr>
        <w:t>The Academy of</w:t>
      </w:r>
      <w:r>
        <w:rPr>
          <w:rStyle w:val="Hyperlink4"/>
          <w:rFonts w:asciiTheme="minorHAnsi" w:hAnsiTheme="minorHAnsi" w:cstheme="minorHAnsi"/>
          <w:sz w:val="22"/>
          <w:szCs w:val="22"/>
          <w:lang w:val="en-US"/>
        </w:rPr>
        <w:t xml:space="preserve"> </w:t>
      </w:r>
      <w:r w:rsidRPr="00757CF0">
        <w:rPr>
          <w:rStyle w:val="Hyperlink4"/>
          <w:rFonts w:asciiTheme="minorHAnsi" w:hAnsiTheme="minorHAnsi" w:cstheme="minorHAnsi"/>
          <w:sz w:val="22"/>
          <w:szCs w:val="22"/>
          <w:lang w:val="en-US"/>
        </w:rPr>
        <w:t>Management Review., 14</w:t>
      </w:r>
      <w:r w:rsidRPr="00757CF0">
        <w:rPr>
          <w:rStyle w:val="Hyperlink3"/>
          <w:rFonts w:asciiTheme="minorHAnsi" w:hAnsiTheme="minorHAnsi" w:cstheme="minorHAnsi"/>
          <w:sz w:val="22"/>
          <w:szCs w:val="22"/>
        </w:rPr>
        <w:t xml:space="preserve">(1), 57-74. </w:t>
      </w:r>
    </w:p>
    <w:p w14:paraId="15CE8538" w14:textId="7A56BEAF" w:rsidR="00757CF0" w:rsidRPr="00757CF0" w:rsidRDefault="00757CF0" w:rsidP="00757CF0">
      <w:pPr>
        <w:spacing w:before="180" w:after="180" w:line="276" w:lineRule="auto"/>
        <w:rPr>
          <w:rFonts w:asciiTheme="minorHAnsi" w:hAnsiTheme="minorHAnsi" w:cstheme="minorHAnsi"/>
          <w:color w:val="000000" w:themeColor="text1"/>
          <w:sz w:val="22"/>
          <w:szCs w:val="22"/>
          <w:lang w:eastAsia="en-GB"/>
        </w:rPr>
      </w:pPr>
      <w:r w:rsidRPr="00757CF0">
        <w:rPr>
          <w:rFonts w:asciiTheme="minorHAnsi" w:hAnsiTheme="minorHAnsi" w:cstheme="minorHAnsi"/>
          <w:color w:val="000000" w:themeColor="text1"/>
          <w:sz w:val="22"/>
          <w:szCs w:val="22"/>
          <w:shd w:val="clear" w:color="auto" w:fill="FFFFFF"/>
          <w:lang w:eastAsia="en-GB"/>
        </w:rPr>
        <w:t xml:space="preserve">Harhoff, D., &amp; Lakhani, K. R. (Eds.). (2016). </w:t>
      </w:r>
      <w:r w:rsidRPr="00757CF0">
        <w:rPr>
          <w:rFonts w:asciiTheme="minorHAnsi" w:hAnsiTheme="minorHAnsi" w:cstheme="minorHAnsi"/>
          <w:i/>
          <w:iCs/>
          <w:color w:val="000000" w:themeColor="text1"/>
          <w:sz w:val="22"/>
          <w:szCs w:val="22"/>
          <w:shd w:val="clear" w:color="auto" w:fill="FFFFFF"/>
          <w:lang w:eastAsia="en-GB"/>
        </w:rPr>
        <w:t>Revolutionizing innovation: Users, communities, and open innovation</w:t>
      </w:r>
      <w:r w:rsidRPr="00757CF0">
        <w:rPr>
          <w:rFonts w:asciiTheme="minorHAnsi" w:hAnsiTheme="minorHAnsi" w:cstheme="minorHAnsi"/>
          <w:color w:val="000000" w:themeColor="text1"/>
          <w:sz w:val="22"/>
          <w:szCs w:val="22"/>
          <w:shd w:val="clear" w:color="auto" w:fill="FFFFFF"/>
          <w:lang w:eastAsia="en-GB"/>
        </w:rPr>
        <w:t xml:space="preserve">. </w:t>
      </w:r>
      <w:r w:rsidRPr="00757CF0">
        <w:rPr>
          <w:rFonts w:asciiTheme="minorHAnsi" w:hAnsiTheme="minorHAnsi" w:cstheme="minorHAnsi"/>
          <w:color w:val="000000" w:themeColor="text1"/>
          <w:sz w:val="22"/>
          <w:szCs w:val="22"/>
          <w:shd w:val="clear" w:color="auto" w:fill="FFFFFF"/>
        </w:rPr>
        <w:t xml:space="preserve">Cambridge, Massachusetts: </w:t>
      </w:r>
      <w:r w:rsidRPr="00757CF0">
        <w:rPr>
          <w:rFonts w:asciiTheme="minorHAnsi" w:hAnsiTheme="minorHAnsi" w:cstheme="minorHAnsi"/>
          <w:color w:val="000000" w:themeColor="text1"/>
          <w:sz w:val="22"/>
          <w:szCs w:val="22"/>
          <w:shd w:val="clear" w:color="auto" w:fill="FFFFFF"/>
          <w:lang w:eastAsia="en-GB"/>
        </w:rPr>
        <w:t>MIT Press.</w:t>
      </w:r>
    </w:p>
    <w:p w14:paraId="69DAEBA7" w14:textId="77777777" w:rsidR="00E618BA" w:rsidRPr="00757CF0" w:rsidRDefault="00E618BA" w:rsidP="00757CF0">
      <w:pPr>
        <w:spacing w:line="276" w:lineRule="auto"/>
        <w:rPr>
          <w:rFonts w:asciiTheme="minorHAnsi" w:hAnsiTheme="minorHAnsi" w:cstheme="minorHAnsi"/>
          <w:sz w:val="22"/>
          <w:szCs w:val="22"/>
        </w:rPr>
      </w:pPr>
      <w:r w:rsidRPr="00757CF0">
        <w:rPr>
          <w:rFonts w:asciiTheme="minorHAnsi" w:hAnsiTheme="minorHAnsi" w:cstheme="minorHAnsi"/>
          <w:sz w:val="22"/>
          <w:szCs w:val="22"/>
          <w:shd w:val="clear" w:color="auto" w:fill="FFFFFF"/>
        </w:rPr>
        <w:t xml:space="preserve">Laros, A., Fuhr, T., and Taylor, E.W. (2017). </w:t>
      </w:r>
      <w:r w:rsidRPr="00757CF0">
        <w:rPr>
          <w:rFonts w:asciiTheme="minorHAnsi" w:hAnsiTheme="minorHAnsi" w:cstheme="minorHAnsi"/>
          <w:i/>
          <w:iCs/>
          <w:sz w:val="22"/>
          <w:szCs w:val="22"/>
          <w:shd w:val="clear" w:color="auto" w:fill="FFFFFF"/>
        </w:rPr>
        <w:t>Transformative learning meets Bildung: An international exchange.</w:t>
      </w:r>
      <w:r w:rsidRPr="00757CF0">
        <w:rPr>
          <w:rFonts w:asciiTheme="minorHAnsi" w:hAnsiTheme="minorHAnsi" w:cstheme="minorHAnsi"/>
          <w:sz w:val="22"/>
          <w:szCs w:val="22"/>
          <w:shd w:val="clear" w:color="auto" w:fill="FFFFFF"/>
        </w:rPr>
        <w:t xml:space="preserve"> Rotterdam: Sense Publishers.</w:t>
      </w:r>
    </w:p>
    <w:p w14:paraId="0E8F42F5" w14:textId="77777777" w:rsidR="00E618BA" w:rsidRPr="00757CF0" w:rsidRDefault="00E618BA" w:rsidP="00757CF0">
      <w:pPr>
        <w:spacing w:line="276" w:lineRule="auto"/>
        <w:rPr>
          <w:rFonts w:asciiTheme="minorHAnsi" w:hAnsiTheme="minorHAnsi" w:cstheme="minorHAnsi"/>
          <w:sz w:val="22"/>
          <w:szCs w:val="22"/>
        </w:rPr>
      </w:pPr>
      <w:r w:rsidRPr="00757CF0">
        <w:rPr>
          <w:rFonts w:asciiTheme="minorHAnsi" w:hAnsiTheme="minorHAnsi" w:cstheme="minorHAnsi"/>
          <w:sz w:val="22"/>
          <w:szCs w:val="22"/>
        </w:rPr>
        <w:t>Larson, L. (2018). Anchoring Hospitals in the Community.</w:t>
      </w:r>
      <w:r w:rsidRPr="00757CF0">
        <w:rPr>
          <w:rFonts w:asciiTheme="minorHAnsi" w:hAnsiTheme="minorHAnsi" w:cstheme="minorHAnsi"/>
          <w:i/>
          <w:sz w:val="22"/>
          <w:szCs w:val="22"/>
        </w:rPr>
        <w:t>Trustee</w:t>
      </w:r>
      <w:r w:rsidRPr="00757CF0">
        <w:rPr>
          <w:rFonts w:asciiTheme="minorHAnsi" w:hAnsiTheme="minorHAnsi" w:cstheme="minorHAnsi"/>
          <w:sz w:val="22"/>
          <w:szCs w:val="22"/>
        </w:rPr>
        <w:t>,</w:t>
      </w:r>
      <w:r w:rsidRPr="00757CF0">
        <w:rPr>
          <w:rFonts w:asciiTheme="minorHAnsi" w:hAnsiTheme="minorHAnsi" w:cstheme="minorHAnsi"/>
          <w:i/>
          <w:sz w:val="22"/>
          <w:szCs w:val="22"/>
        </w:rPr>
        <w:t xml:space="preserve"> 71</w:t>
      </w:r>
      <w:r w:rsidRPr="00757CF0">
        <w:rPr>
          <w:rFonts w:asciiTheme="minorHAnsi" w:hAnsiTheme="minorHAnsi" w:cstheme="minorHAnsi"/>
          <w:sz w:val="22"/>
          <w:szCs w:val="22"/>
        </w:rPr>
        <w:t>(6), 12-15.</w:t>
      </w:r>
    </w:p>
    <w:p w14:paraId="290869F3" w14:textId="77777777" w:rsidR="00E618BA" w:rsidRPr="00757CF0" w:rsidRDefault="00E618BA" w:rsidP="00757CF0">
      <w:pPr>
        <w:spacing w:line="276" w:lineRule="auto"/>
        <w:rPr>
          <w:rFonts w:asciiTheme="minorHAnsi" w:hAnsiTheme="minorHAnsi" w:cstheme="minorHAnsi"/>
          <w:sz w:val="22"/>
          <w:szCs w:val="22"/>
        </w:rPr>
      </w:pPr>
      <w:r w:rsidRPr="00757CF0">
        <w:rPr>
          <w:rFonts w:asciiTheme="minorHAnsi" w:hAnsiTheme="minorHAnsi" w:cstheme="minorHAnsi"/>
          <w:sz w:val="22"/>
          <w:szCs w:val="22"/>
        </w:rPr>
        <w:t xml:space="preserve">Leaver, A., &amp; Williams, K. (2014). After the 30-year experiment: The future of the 'foundational economy' (Article). </w:t>
      </w:r>
      <w:r w:rsidRPr="00757CF0">
        <w:rPr>
          <w:rFonts w:asciiTheme="minorHAnsi" w:hAnsiTheme="minorHAnsi" w:cstheme="minorHAnsi"/>
          <w:i/>
          <w:sz w:val="22"/>
          <w:szCs w:val="22"/>
        </w:rPr>
        <w:t>Juncture</w:t>
      </w:r>
      <w:r w:rsidRPr="00757CF0">
        <w:rPr>
          <w:rFonts w:asciiTheme="minorHAnsi" w:hAnsiTheme="minorHAnsi" w:cstheme="minorHAnsi"/>
          <w:sz w:val="22"/>
          <w:szCs w:val="22"/>
        </w:rPr>
        <w:t>,</w:t>
      </w:r>
      <w:r w:rsidRPr="00757CF0">
        <w:rPr>
          <w:rFonts w:asciiTheme="minorHAnsi" w:hAnsiTheme="minorHAnsi" w:cstheme="minorHAnsi"/>
          <w:i/>
          <w:sz w:val="22"/>
          <w:szCs w:val="22"/>
        </w:rPr>
        <w:t xml:space="preserve"> 21</w:t>
      </w:r>
      <w:r w:rsidRPr="00757CF0">
        <w:rPr>
          <w:rFonts w:asciiTheme="minorHAnsi" w:hAnsiTheme="minorHAnsi" w:cstheme="minorHAnsi"/>
          <w:sz w:val="22"/>
          <w:szCs w:val="22"/>
        </w:rPr>
        <w:t xml:space="preserve">(3), 215-221. </w:t>
      </w:r>
    </w:p>
    <w:p w14:paraId="175A4506" w14:textId="77777777" w:rsidR="00E618BA" w:rsidRPr="00757CF0" w:rsidRDefault="00E618BA" w:rsidP="00757CF0">
      <w:pPr>
        <w:spacing w:line="276" w:lineRule="auto"/>
        <w:rPr>
          <w:rFonts w:asciiTheme="minorHAnsi" w:hAnsiTheme="minorHAnsi" w:cstheme="minorHAnsi"/>
          <w:color w:val="222222"/>
          <w:sz w:val="22"/>
          <w:szCs w:val="22"/>
          <w:shd w:val="clear" w:color="auto" w:fill="FFFFFF"/>
        </w:rPr>
      </w:pPr>
      <w:r w:rsidRPr="00757CF0">
        <w:rPr>
          <w:rFonts w:asciiTheme="minorHAnsi" w:hAnsiTheme="minorHAnsi" w:cstheme="minorHAnsi"/>
          <w:color w:val="222222"/>
          <w:sz w:val="22"/>
          <w:szCs w:val="22"/>
          <w:shd w:val="clear" w:color="auto" w:fill="FFFFFF"/>
        </w:rPr>
        <w:t>Mergel, I., &amp; Desouza, K. C. (2013). Implementing open innovation in the public sector: The case of Challenge. gov. </w:t>
      </w:r>
      <w:r w:rsidRPr="00757CF0">
        <w:rPr>
          <w:rFonts w:asciiTheme="minorHAnsi" w:hAnsiTheme="minorHAnsi" w:cstheme="minorHAnsi"/>
          <w:i/>
          <w:iCs/>
          <w:color w:val="222222"/>
          <w:sz w:val="22"/>
          <w:szCs w:val="22"/>
          <w:shd w:val="clear" w:color="auto" w:fill="FFFFFF"/>
        </w:rPr>
        <w:t>Public administration review</w:t>
      </w:r>
      <w:r w:rsidRPr="00757CF0">
        <w:rPr>
          <w:rFonts w:asciiTheme="minorHAnsi" w:hAnsiTheme="minorHAnsi" w:cstheme="minorHAnsi"/>
          <w:color w:val="222222"/>
          <w:sz w:val="22"/>
          <w:szCs w:val="22"/>
          <w:shd w:val="clear" w:color="auto" w:fill="FFFFFF"/>
        </w:rPr>
        <w:t>, </w:t>
      </w:r>
      <w:r w:rsidRPr="00757CF0">
        <w:rPr>
          <w:rFonts w:asciiTheme="minorHAnsi" w:hAnsiTheme="minorHAnsi" w:cstheme="minorHAnsi"/>
          <w:i/>
          <w:iCs/>
          <w:color w:val="222222"/>
          <w:sz w:val="22"/>
          <w:szCs w:val="22"/>
          <w:shd w:val="clear" w:color="auto" w:fill="FFFFFF"/>
        </w:rPr>
        <w:t>73</w:t>
      </w:r>
      <w:r w:rsidRPr="00757CF0">
        <w:rPr>
          <w:rFonts w:asciiTheme="minorHAnsi" w:hAnsiTheme="minorHAnsi" w:cstheme="minorHAnsi"/>
          <w:color w:val="222222"/>
          <w:sz w:val="22"/>
          <w:szCs w:val="22"/>
          <w:shd w:val="clear" w:color="auto" w:fill="FFFFFF"/>
        </w:rPr>
        <w:t>(6), 882-890.</w:t>
      </w:r>
    </w:p>
    <w:p w14:paraId="3D3537E7" w14:textId="292D4551" w:rsidR="001F1D00" w:rsidRPr="00757CF0" w:rsidRDefault="001F1D00" w:rsidP="00757CF0">
      <w:pPr>
        <w:spacing w:line="276" w:lineRule="auto"/>
        <w:rPr>
          <w:rFonts w:asciiTheme="minorHAnsi" w:hAnsiTheme="minorHAnsi" w:cstheme="minorHAnsi"/>
          <w:color w:val="1155CC"/>
          <w:sz w:val="22"/>
          <w:szCs w:val="22"/>
          <w:u w:val="single"/>
        </w:rPr>
      </w:pPr>
      <w:r w:rsidRPr="00757CF0">
        <w:rPr>
          <w:rFonts w:asciiTheme="minorHAnsi" w:hAnsiTheme="minorHAnsi" w:cstheme="minorHAnsi"/>
          <w:color w:val="222222"/>
          <w:sz w:val="22"/>
          <w:szCs w:val="22"/>
          <w:shd w:val="clear" w:color="auto" w:fill="FFFFFF"/>
        </w:rPr>
        <w:t>Smith, S., Kempster, S., &amp; Wenger-Trayner, E. (2019). Developing a program community of practice for leadership development. </w:t>
      </w:r>
      <w:r w:rsidRPr="00757CF0">
        <w:rPr>
          <w:rFonts w:asciiTheme="minorHAnsi" w:hAnsiTheme="minorHAnsi" w:cstheme="minorHAnsi"/>
          <w:i/>
          <w:iCs/>
          <w:color w:val="222222"/>
          <w:sz w:val="22"/>
          <w:szCs w:val="22"/>
          <w:shd w:val="clear" w:color="auto" w:fill="FFFFFF"/>
        </w:rPr>
        <w:t>Journal of Management Education</w:t>
      </w:r>
      <w:r w:rsidRPr="00757CF0">
        <w:rPr>
          <w:rFonts w:asciiTheme="minorHAnsi" w:hAnsiTheme="minorHAnsi" w:cstheme="minorHAnsi"/>
          <w:color w:val="222222"/>
          <w:sz w:val="22"/>
          <w:szCs w:val="22"/>
          <w:shd w:val="clear" w:color="auto" w:fill="FFFFFF"/>
        </w:rPr>
        <w:t>, </w:t>
      </w:r>
      <w:r w:rsidRPr="00757CF0">
        <w:rPr>
          <w:rFonts w:asciiTheme="minorHAnsi" w:hAnsiTheme="minorHAnsi" w:cstheme="minorHAnsi"/>
          <w:i/>
          <w:iCs/>
          <w:color w:val="222222"/>
          <w:sz w:val="22"/>
          <w:szCs w:val="22"/>
          <w:shd w:val="clear" w:color="auto" w:fill="FFFFFF"/>
        </w:rPr>
        <w:t>43</w:t>
      </w:r>
      <w:r w:rsidRPr="00757CF0">
        <w:rPr>
          <w:rFonts w:asciiTheme="minorHAnsi" w:hAnsiTheme="minorHAnsi" w:cstheme="minorHAnsi"/>
          <w:color w:val="222222"/>
          <w:sz w:val="22"/>
          <w:szCs w:val="22"/>
          <w:shd w:val="clear" w:color="auto" w:fill="FFFFFF"/>
        </w:rPr>
        <w:t>(1), 62-88.</w:t>
      </w:r>
    </w:p>
    <w:p w14:paraId="4141E494" w14:textId="50B635FE" w:rsidR="00E618BA" w:rsidRPr="00757CF0" w:rsidRDefault="00E618BA" w:rsidP="00757CF0">
      <w:pPr>
        <w:spacing w:line="276" w:lineRule="auto"/>
        <w:rPr>
          <w:rFonts w:asciiTheme="minorHAnsi" w:hAnsiTheme="minorHAnsi" w:cstheme="minorHAnsi"/>
          <w:sz w:val="22"/>
          <w:szCs w:val="22"/>
        </w:rPr>
      </w:pPr>
      <w:r w:rsidRPr="00757CF0">
        <w:rPr>
          <w:rFonts w:asciiTheme="minorHAnsi" w:hAnsiTheme="minorHAnsi" w:cstheme="minorHAnsi"/>
          <w:color w:val="222222"/>
          <w:sz w:val="22"/>
          <w:szCs w:val="22"/>
          <w:shd w:val="clear" w:color="auto" w:fill="FFFFFF"/>
        </w:rPr>
        <w:t xml:space="preserve">Stilgoe, J., Owen, R., &amp; Macnaghten, P. (2013). Developing a framework for </w:t>
      </w:r>
    </w:p>
    <w:p w14:paraId="17EAC9ED" w14:textId="77777777" w:rsidR="00E618BA" w:rsidRPr="00757CF0" w:rsidRDefault="00E618BA" w:rsidP="00757CF0">
      <w:pPr>
        <w:spacing w:line="276" w:lineRule="auto"/>
        <w:rPr>
          <w:rFonts w:asciiTheme="minorHAnsi" w:hAnsiTheme="minorHAnsi" w:cstheme="minorHAnsi"/>
          <w:sz w:val="22"/>
          <w:szCs w:val="22"/>
        </w:rPr>
      </w:pPr>
      <w:r w:rsidRPr="00757CF0">
        <w:rPr>
          <w:rFonts w:asciiTheme="minorHAnsi" w:hAnsiTheme="minorHAnsi" w:cstheme="minorHAnsi"/>
          <w:sz w:val="22"/>
          <w:szCs w:val="22"/>
        </w:rPr>
        <w:t xml:space="preserve">Vygotsky, L.S. (1978) </w:t>
      </w:r>
      <w:r w:rsidRPr="00757CF0">
        <w:rPr>
          <w:rFonts w:asciiTheme="minorHAnsi" w:hAnsiTheme="minorHAnsi" w:cstheme="minorHAnsi"/>
          <w:i/>
          <w:sz w:val="22"/>
          <w:szCs w:val="22"/>
        </w:rPr>
        <w:t xml:space="preserve">Mind and Society: The Development of Higher Psychological Processes. </w:t>
      </w:r>
      <w:r w:rsidRPr="00757CF0">
        <w:rPr>
          <w:rFonts w:asciiTheme="minorHAnsi" w:hAnsiTheme="minorHAnsi" w:cstheme="minorHAnsi"/>
          <w:sz w:val="22"/>
          <w:szCs w:val="22"/>
        </w:rPr>
        <w:t>Cambridge, MA: Harvard University Press.</w:t>
      </w:r>
    </w:p>
    <w:p w14:paraId="3817CA61" w14:textId="77777777" w:rsidR="00E618BA" w:rsidRPr="00757CF0" w:rsidRDefault="00E618BA" w:rsidP="00757CF0">
      <w:pPr>
        <w:spacing w:line="276" w:lineRule="auto"/>
        <w:rPr>
          <w:rFonts w:asciiTheme="minorHAnsi" w:hAnsiTheme="minorHAnsi" w:cstheme="minorHAnsi"/>
          <w:sz w:val="22"/>
          <w:szCs w:val="22"/>
        </w:rPr>
      </w:pPr>
      <w:r w:rsidRPr="00757CF0">
        <w:rPr>
          <w:rFonts w:asciiTheme="minorHAnsi" w:eastAsia="Arial" w:hAnsiTheme="minorHAnsi" w:cstheme="minorHAnsi"/>
          <w:sz w:val="22"/>
          <w:szCs w:val="22"/>
        </w:rPr>
        <w:t xml:space="preserve">Walpole, G., Bacon, E., Beverley, K., De Laurentis, C., Renfrew, K., &amp; Rudd, J. (2022). New development: Enhancing regional innovation capabilities through formal public service communities of practice. </w:t>
      </w:r>
      <w:r w:rsidRPr="00757CF0">
        <w:rPr>
          <w:rFonts w:asciiTheme="minorHAnsi" w:eastAsia="Arial" w:hAnsiTheme="minorHAnsi" w:cstheme="minorHAnsi"/>
          <w:i/>
          <w:sz w:val="22"/>
          <w:szCs w:val="22"/>
        </w:rPr>
        <w:t>Public Money &amp; Management</w:t>
      </w:r>
      <w:r w:rsidRPr="00757CF0">
        <w:rPr>
          <w:rFonts w:asciiTheme="minorHAnsi" w:hAnsiTheme="minorHAnsi" w:cstheme="minorHAnsi"/>
          <w:sz w:val="22"/>
          <w:szCs w:val="22"/>
        </w:rPr>
        <w:t>, 1-4.</w:t>
      </w:r>
    </w:p>
    <w:p w14:paraId="789645ED" w14:textId="676ED5A7" w:rsidR="00E618BA" w:rsidRPr="00757CF0" w:rsidRDefault="00E618BA" w:rsidP="00757CF0">
      <w:pPr>
        <w:spacing w:line="276" w:lineRule="auto"/>
        <w:rPr>
          <w:rFonts w:asciiTheme="minorHAnsi" w:hAnsiTheme="minorHAnsi" w:cstheme="minorHAnsi"/>
          <w:sz w:val="22"/>
          <w:szCs w:val="22"/>
        </w:rPr>
      </w:pPr>
      <w:r w:rsidRPr="00757CF0">
        <w:rPr>
          <w:rFonts w:asciiTheme="minorHAnsi" w:hAnsiTheme="minorHAnsi" w:cstheme="minorHAnsi"/>
          <w:sz w:val="22"/>
          <w:szCs w:val="22"/>
        </w:rPr>
        <w:t>Wenger, E. (2007) Communities of Practice - Learning, Meaning and Identity, Cambridge University Press, Cambridge.</w:t>
      </w:r>
    </w:p>
    <w:p w14:paraId="22076793" w14:textId="3975EB38" w:rsidR="00757CF0" w:rsidRPr="00757CF0" w:rsidRDefault="00757CF0" w:rsidP="00757CF0">
      <w:pPr>
        <w:pStyle w:val="Body"/>
        <w:spacing w:line="276" w:lineRule="auto"/>
        <w:ind w:left="720" w:hanging="720"/>
        <w:rPr>
          <w:rFonts w:asciiTheme="minorHAnsi" w:eastAsia="Calibri" w:hAnsiTheme="minorHAnsi" w:cstheme="minorHAnsi"/>
          <w:sz w:val="22"/>
          <w:szCs w:val="22"/>
        </w:rPr>
      </w:pPr>
      <w:r w:rsidRPr="00757CF0">
        <w:rPr>
          <w:rStyle w:val="Hyperlink3"/>
          <w:rFonts w:asciiTheme="minorHAnsi" w:hAnsiTheme="minorHAnsi" w:cstheme="minorHAnsi"/>
          <w:sz w:val="22"/>
          <w:szCs w:val="22"/>
        </w:rPr>
        <w:t xml:space="preserve">Yin, R. (2014). </w:t>
      </w:r>
      <w:r w:rsidRPr="00757CF0">
        <w:rPr>
          <w:rStyle w:val="Hyperlink4"/>
          <w:rFonts w:asciiTheme="minorHAnsi" w:hAnsiTheme="minorHAnsi" w:cstheme="minorHAnsi"/>
          <w:sz w:val="22"/>
          <w:szCs w:val="22"/>
          <w:lang w:val="en-US"/>
        </w:rPr>
        <w:t>Case Study Research: Design and Methods</w:t>
      </w:r>
      <w:r w:rsidRPr="00757CF0">
        <w:rPr>
          <w:rStyle w:val="Hyperlink3"/>
          <w:rFonts w:asciiTheme="minorHAnsi" w:hAnsiTheme="minorHAnsi" w:cstheme="minorHAnsi"/>
          <w:sz w:val="22"/>
          <w:szCs w:val="22"/>
          <w:lang w:val="it-IT"/>
        </w:rPr>
        <w:t>. California: Sage.</w:t>
      </w:r>
    </w:p>
    <w:p w14:paraId="274C7929" w14:textId="77777777" w:rsidR="00EE196A" w:rsidRPr="00757CF0" w:rsidRDefault="00EE196A" w:rsidP="00757CF0">
      <w:pPr>
        <w:spacing w:line="276" w:lineRule="auto"/>
        <w:rPr>
          <w:rFonts w:asciiTheme="minorHAnsi" w:hAnsiTheme="minorHAnsi" w:cstheme="minorHAnsi"/>
          <w:sz w:val="22"/>
          <w:szCs w:val="22"/>
        </w:rPr>
      </w:pPr>
      <w:r w:rsidRPr="00757CF0">
        <w:rPr>
          <w:rStyle w:val="authors"/>
          <w:rFonts w:asciiTheme="minorHAnsi" w:hAnsiTheme="minorHAnsi" w:cstheme="minorHAnsi"/>
          <w:sz w:val="22"/>
          <w:szCs w:val="22"/>
        </w:rPr>
        <w:t>Zheng Liu, Steffan James, Gary Walpole &amp; Gareth R. T. White</w:t>
      </w:r>
      <w:r w:rsidRPr="00757CF0">
        <w:rPr>
          <w:rFonts w:asciiTheme="minorHAnsi" w:hAnsiTheme="minorHAnsi" w:cstheme="minorHAnsi"/>
          <w:sz w:val="22"/>
          <w:szCs w:val="22"/>
        </w:rPr>
        <w:t xml:space="preserve"> </w:t>
      </w:r>
      <w:r w:rsidRPr="00757CF0">
        <w:rPr>
          <w:rStyle w:val="Date1"/>
          <w:rFonts w:asciiTheme="minorHAnsi" w:hAnsiTheme="minorHAnsi" w:cstheme="minorHAnsi"/>
          <w:sz w:val="22"/>
          <w:szCs w:val="22"/>
        </w:rPr>
        <w:t>(2022)</w:t>
      </w:r>
      <w:r w:rsidRPr="00757CF0">
        <w:rPr>
          <w:rFonts w:asciiTheme="minorHAnsi" w:hAnsiTheme="minorHAnsi" w:cstheme="minorHAnsi"/>
          <w:sz w:val="22"/>
          <w:szCs w:val="22"/>
        </w:rPr>
        <w:t xml:space="preserve"> </w:t>
      </w:r>
      <w:r w:rsidRPr="00757CF0">
        <w:rPr>
          <w:rStyle w:val="arttitle"/>
          <w:rFonts w:asciiTheme="minorHAnsi" w:hAnsiTheme="minorHAnsi" w:cstheme="minorHAnsi"/>
          <w:sz w:val="22"/>
          <w:szCs w:val="22"/>
        </w:rPr>
        <w:t>A communities of practice approach to promoting regional circular economy innovation: evidence from East Wales,</w:t>
      </w:r>
      <w:r w:rsidRPr="00757CF0">
        <w:rPr>
          <w:rFonts w:asciiTheme="minorHAnsi" w:hAnsiTheme="minorHAnsi" w:cstheme="minorHAnsi"/>
          <w:sz w:val="22"/>
          <w:szCs w:val="22"/>
        </w:rPr>
        <w:t xml:space="preserve"> </w:t>
      </w:r>
      <w:r w:rsidRPr="00757CF0">
        <w:rPr>
          <w:rStyle w:val="serialtitle"/>
          <w:rFonts w:asciiTheme="minorHAnsi" w:hAnsiTheme="minorHAnsi" w:cstheme="minorHAnsi"/>
          <w:sz w:val="22"/>
          <w:szCs w:val="22"/>
        </w:rPr>
        <w:t>European Planning Studies,</w:t>
      </w:r>
      <w:r w:rsidRPr="00757CF0">
        <w:rPr>
          <w:rFonts w:asciiTheme="minorHAnsi" w:hAnsiTheme="minorHAnsi" w:cstheme="minorHAnsi"/>
          <w:sz w:val="22"/>
          <w:szCs w:val="22"/>
        </w:rPr>
        <w:t xml:space="preserve"> </w:t>
      </w:r>
      <w:r w:rsidRPr="00757CF0">
        <w:rPr>
          <w:rStyle w:val="doilink"/>
          <w:rFonts w:asciiTheme="minorHAnsi" w:hAnsiTheme="minorHAnsi" w:cstheme="minorHAnsi"/>
          <w:sz w:val="22"/>
          <w:szCs w:val="22"/>
        </w:rPr>
        <w:t xml:space="preserve">DOI: </w:t>
      </w:r>
      <w:hyperlink r:id="rId7" w:history="1">
        <w:r w:rsidRPr="00757CF0">
          <w:rPr>
            <w:rStyle w:val="Hyperlink"/>
            <w:rFonts w:asciiTheme="minorHAnsi" w:hAnsiTheme="minorHAnsi" w:cstheme="minorHAnsi"/>
            <w:sz w:val="22"/>
            <w:szCs w:val="22"/>
          </w:rPr>
          <w:t>10.1080/09654313.2022.2132785</w:t>
        </w:r>
      </w:hyperlink>
      <w:r w:rsidRPr="00757CF0">
        <w:rPr>
          <w:rFonts w:asciiTheme="minorHAnsi" w:hAnsiTheme="minorHAnsi" w:cstheme="minorHAnsi"/>
          <w:sz w:val="22"/>
          <w:szCs w:val="22"/>
        </w:rPr>
        <w:t xml:space="preserve"> </w:t>
      </w:r>
    </w:p>
    <w:p w14:paraId="2725B7B6" w14:textId="77777777" w:rsidR="00EE196A" w:rsidRPr="00A735F5" w:rsidRDefault="00EE196A" w:rsidP="00AB138E">
      <w:pPr>
        <w:spacing w:line="360" w:lineRule="auto"/>
        <w:rPr>
          <w:rFonts w:asciiTheme="minorHAnsi" w:hAnsiTheme="minorHAnsi" w:cstheme="minorHAnsi"/>
          <w:szCs w:val="24"/>
        </w:rPr>
      </w:pPr>
    </w:p>
    <w:p w14:paraId="62B07D2E" w14:textId="4A48D09E" w:rsidR="00B91065" w:rsidRPr="00A735F5" w:rsidRDefault="00B91065" w:rsidP="00AB138E">
      <w:pPr>
        <w:spacing w:line="360" w:lineRule="auto"/>
        <w:rPr>
          <w:rFonts w:asciiTheme="minorHAnsi" w:hAnsiTheme="minorHAnsi" w:cstheme="minorHAnsi"/>
          <w:b/>
          <w:szCs w:val="24"/>
        </w:rPr>
      </w:pPr>
    </w:p>
    <w:p w14:paraId="4451B722" w14:textId="0DEB7716" w:rsidR="000512EF" w:rsidRPr="00A735F5" w:rsidRDefault="000512EF" w:rsidP="00AB138E">
      <w:pPr>
        <w:spacing w:line="360" w:lineRule="auto"/>
        <w:rPr>
          <w:rFonts w:asciiTheme="minorHAnsi" w:hAnsiTheme="minorHAnsi" w:cstheme="minorHAnsi"/>
          <w:b/>
          <w:szCs w:val="24"/>
        </w:rPr>
      </w:pPr>
    </w:p>
    <w:p w14:paraId="1D443167" w14:textId="77777777" w:rsidR="000512EF" w:rsidRPr="00A735F5" w:rsidRDefault="000512EF" w:rsidP="00AB138E">
      <w:pPr>
        <w:spacing w:line="360" w:lineRule="auto"/>
        <w:rPr>
          <w:rFonts w:asciiTheme="minorHAnsi" w:hAnsiTheme="minorHAnsi" w:cstheme="minorHAnsi"/>
          <w:b/>
          <w:szCs w:val="24"/>
        </w:rPr>
      </w:pPr>
    </w:p>
    <w:p w14:paraId="27BF3BEF" w14:textId="77777777" w:rsidR="00B91065" w:rsidRPr="00A735F5" w:rsidRDefault="00B91065" w:rsidP="00AB138E">
      <w:pPr>
        <w:spacing w:line="360" w:lineRule="auto"/>
        <w:rPr>
          <w:rFonts w:asciiTheme="minorHAnsi" w:hAnsiTheme="minorHAnsi" w:cstheme="minorHAnsi"/>
          <w:szCs w:val="24"/>
        </w:rPr>
      </w:pPr>
    </w:p>
    <w:p w14:paraId="6D8000ED" w14:textId="77777777" w:rsidR="00B91065" w:rsidRPr="00A735F5" w:rsidRDefault="00B91065" w:rsidP="00AB138E">
      <w:pPr>
        <w:spacing w:line="360" w:lineRule="auto"/>
        <w:rPr>
          <w:rFonts w:asciiTheme="minorHAnsi" w:hAnsiTheme="minorHAnsi" w:cstheme="minorHAnsi"/>
          <w:szCs w:val="24"/>
        </w:rPr>
      </w:pPr>
    </w:p>
    <w:sectPr w:rsidR="00B91065" w:rsidRPr="00A735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A54"/>
    <w:multiLevelType w:val="hybridMultilevel"/>
    <w:tmpl w:val="5C7C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83322"/>
    <w:multiLevelType w:val="hybridMultilevel"/>
    <w:tmpl w:val="36AE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7006E"/>
    <w:multiLevelType w:val="hybridMultilevel"/>
    <w:tmpl w:val="775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730CE"/>
    <w:multiLevelType w:val="hybridMultilevel"/>
    <w:tmpl w:val="7112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495776">
    <w:abstractNumId w:val="2"/>
  </w:num>
  <w:num w:numId="2" w16cid:durableId="1910191011">
    <w:abstractNumId w:val="0"/>
  </w:num>
  <w:num w:numId="3" w16cid:durableId="1432162547">
    <w:abstractNumId w:val="3"/>
  </w:num>
  <w:num w:numId="4" w16cid:durableId="982008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6A"/>
    <w:rsid w:val="000512EF"/>
    <w:rsid w:val="0007109C"/>
    <w:rsid w:val="000E4D6A"/>
    <w:rsid w:val="00132F88"/>
    <w:rsid w:val="00162CFD"/>
    <w:rsid w:val="0016420E"/>
    <w:rsid w:val="00183C74"/>
    <w:rsid w:val="001E2087"/>
    <w:rsid w:val="001F1D00"/>
    <w:rsid w:val="00213C61"/>
    <w:rsid w:val="00214BBB"/>
    <w:rsid w:val="002D6B8A"/>
    <w:rsid w:val="0031431C"/>
    <w:rsid w:val="00364753"/>
    <w:rsid w:val="00455231"/>
    <w:rsid w:val="004C65FA"/>
    <w:rsid w:val="004C6C01"/>
    <w:rsid w:val="004D59EA"/>
    <w:rsid w:val="0050294D"/>
    <w:rsid w:val="005149C4"/>
    <w:rsid w:val="00564E97"/>
    <w:rsid w:val="005C4956"/>
    <w:rsid w:val="005F114C"/>
    <w:rsid w:val="005F41B0"/>
    <w:rsid w:val="00644B37"/>
    <w:rsid w:val="006D473E"/>
    <w:rsid w:val="00751243"/>
    <w:rsid w:val="00757CF0"/>
    <w:rsid w:val="007A3557"/>
    <w:rsid w:val="007B4759"/>
    <w:rsid w:val="007E5C8A"/>
    <w:rsid w:val="00805E1E"/>
    <w:rsid w:val="00834752"/>
    <w:rsid w:val="008745DF"/>
    <w:rsid w:val="0095626C"/>
    <w:rsid w:val="00967CF7"/>
    <w:rsid w:val="00974E34"/>
    <w:rsid w:val="009822ED"/>
    <w:rsid w:val="00983DBD"/>
    <w:rsid w:val="009A04F7"/>
    <w:rsid w:val="009C2A46"/>
    <w:rsid w:val="00A05149"/>
    <w:rsid w:val="00A32ACA"/>
    <w:rsid w:val="00A3691E"/>
    <w:rsid w:val="00A705C7"/>
    <w:rsid w:val="00A735F5"/>
    <w:rsid w:val="00A76E51"/>
    <w:rsid w:val="00A77B73"/>
    <w:rsid w:val="00A80E42"/>
    <w:rsid w:val="00AB138E"/>
    <w:rsid w:val="00AD65FD"/>
    <w:rsid w:val="00AD7C99"/>
    <w:rsid w:val="00AF3F5D"/>
    <w:rsid w:val="00B3646C"/>
    <w:rsid w:val="00B91065"/>
    <w:rsid w:val="00BF4424"/>
    <w:rsid w:val="00C0005B"/>
    <w:rsid w:val="00C469D2"/>
    <w:rsid w:val="00C52F11"/>
    <w:rsid w:val="00C9642F"/>
    <w:rsid w:val="00CF4D3E"/>
    <w:rsid w:val="00CF6755"/>
    <w:rsid w:val="00D26B1A"/>
    <w:rsid w:val="00D4063F"/>
    <w:rsid w:val="00D7727C"/>
    <w:rsid w:val="00D9095D"/>
    <w:rsid w:val="00DB66D3"/>
    <w:rsid w:val="00E01213"/>
    <w:rsid w:val="00E43929"/>
    <w:rsid w:val="00E47BAA"/>
    <w:rsid w:val="00E618BA"/>
    <w:rsid w:val="00E61F13"/>
    <w:rsid w:val="00E679BB"/>
    <w:rsid w:val="00E841C0"/>
    <w:rsid w:val="00EB7DAB"/>
    <w:rsid w:val="00EC0113"/>
    <w:rsid w:val="00ED495C"/>
    <w:rsid w:val="00EE196A"/>
    <w:rsid w:val="00F04FD9"/>
    <w:rsid w:val="00F07272"/>
    <w:rsid w:val="00F3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94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6A"/>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 head"/>
    <w:basedOn w:val="Normal"/>
    <w:rsid w:val="000E4D6A"/>
    <w:pPr>
      <w:keepNext/>
      <w:spacing w:before="120" w:after="120"/>
      <w:outlineLvl w:val="0"/>
    </w:pPr>
    <w:rPr>
      <w:rFonts w:cs="Arial"/>
      <w:b/>
      <w:szCs w:val="24"/>
      <w:lang w:eastAsia="en-GB"/>
    </w:rPr>
  </w:style>
  <w:style w:type="paragraph" w:styleId="ListParagraph">
    <w:name w:val="List Paragraph"/>
    <w:basedOn w:val="Normal"/>
    <w:uiPriority w:val="34"/>
    <w:qFormat/>
    <w:rsid w:val="005149C4"/>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7B4759"/>
    <w:pPr>
      <w:widowControl w:val="0"/>
      <w:autoSpaceDE w:val="0"/>
      <w:autoSpaceDN w:val="0"/>
      <w:adjustRightInd w:val="0"/>
    </w:pPr>
    <w:rPr>
      <w:rFonts w:ascii="Arial" w:eastAsiaTheme="minorEastAsia" w:hAnsi="Arial" w:cs="Arial"/>
      <w:color w:val="000000"/>
      <w:lang w:val="en-GB" w:eastAsia="en-GB"/>
    </w:rPr>
  </w:style>
  <w:style w:type="character" w:styleId="Hyperlink">
    <w:name w:val="Hyperlink"/>
    <w:basedOn w:val="DefaultParagraphFont"/>
    <w:uiPriority w:val="99"/>
    <w:unhideWhenUsed/>
    <w:rsid w:val="00967CF7"/>
    <w:rPr>
      <w:color w:val="0000FF"/>
      <w:u w:val="single"/>
    </w:rPr>
  </w:style>
  <w:style w:type="character" w:styleId="UnresolvedMention">
    <w:name w:val="Unresolved Mention"/>
    <w:basedOn w:val="DefaultParagraphFont"/>
    <w:uiPriority w:val="99"/>
    <w:semiHidden/>
    <w:unhideWhenUsed/>
    <w:rsid w:val="00C52F11"/>
    <w:rPr>
      <w:color w:val="605E5C"/>
      <w:shd w:val="clear" w:color="auto" w:fill="E1DFDD"/>
    </w:rPr>
  </w:style>
  <w:style w:type="paragraph" w:customStyle="1" w:styleId="QuotePara">
    <w:name w:val="Quote Para"/>
    <w:basedOn w:val="Normal"/>
    <w:qFormat/>
    <w:rsid w:val="00ED495C"/>
    <w:pPr>
      <w:spacing w:before="240" w:after="240" w:line="360" w:lineRule="auto"/>
      <w:jc w:val="both"/>
    </w:pPr>
    <w:rPr>
      <w:rFonts w:cs="Arial"/>
      <w:i/>
      <w:iCs/>
      <w:color w:val="000000"/>
      <w:sz w:val="22"/>
      <w:szCs w:val="22"/>
      <w:shd w:val="clear" w:color="auto" w:fill="FFFFFF"/>
      <w:lang w:eastAsia="en-GB"/>
    </w:rPr>
  </w:style>
  <w:style w:type="character" w:customStyle="1" w:styleId="authors">
    <w:name w:val="authors"/>
    <w:basedOn w:val="DefaultParagraphFont"/>
    <w:rsid w:val="00EE196A"/>
  </w:style>
  <w:style w:type="character" w:customStyle="1" w:styleId="Date1">
    <w:name w:val="Date1"/>
    <w:basedOn w:val="DefaultParagraphFont"/>
    <w:rsid w:val="00EE196A"/>
  </w:style>
  <w:style w:type="character" w:customStyle="1" w:styleId="arttitle">
    <w:name w:val="art_title"/>
    <w:basedOn w:val="DefaultParagraphFont"/>
    <w:rsid w:val="00EE196A"/>
  </w:style>
  <w:style w:type="character" w:customStyle="1" w:styleId="serialtitle">
    <w:name w:val="serial_title"/>
    <w:basedOn w:val="DefaultParagraphFont"/>
    <w:rsid w:val="00EE196A"/>
  </w:style>
  <w:style w:type="character" w:customStyle="1" w:styleId="doilink">
    <w:name w:val="doi_link"/>
    <w:basedOn w:val="DefaultParagraphFont"/>
    <w:rsid w:val="00EE196A"/>
  </w:style>
  <w:style w:type="paragraph" w:customStyle="1" w:styleId="Body">
    <w:name w:val="Body"/>
    <w:rsid w:val="00757CF0"/>
    <w:pPr>
      <w:pBdr>
        <w:top w:val="nil"/>
        <w:left w:val="nil"/>
        <w:bottom w:val="nil"/>
        <w:right w:val="nil"/>
        <w:between w:val="nil"/>
        <w:bar w:val="nil"/>
      </w:pBdr>
    </w:pPr>
    <w:rPr>
      <w:rFonts w:ascii="Times New Roman" w:eastAsia="Arial Unicode MS" w:hAnsi="Times New Roman" w:cs="Arial Unicode MS"/>
      <w:color w:val="000000"/>
      <w:u w:color="000000"/>
      <w:bdr w:val="nil"/>
      <w:lang w:val="en-GB" w:eastAsia="en-GB"/>
      <w14:textOutline w14:w="0" w14:cap="flat" w14:cmpd="sng" w14:algn="ctr">
        <w14:noFill/>
        <w14:prstDash w14:val="solid"/>
        <w14:bevel/>
      </w14:textOutline>
    </w:rPr>
  </w:style>
  <w:style w:type="character" w:customStyle="1" w:styleId="Hyperlink3">
    <w:name w:val="Hyperlink.3"/>
    <w:basedOn w:val="DefaultParagraphFont"/>
    <w:rsid w:val="00757CF0"/>
    <w:rPr>
      <w:rFonts w:ascii="Calibri" w:eastAsia="Calibri" w:hAnsi="Calibri" w:cs="Calibri"/>
    </w:rPr>
  </w:style>
  <w:style w:type="character" w:customStyle="1" w:styleId="Hyperlink4">
    <w:name w:val="Hyperlink.4"/>
    <w:basedOn w:val="DefaultParagraphFont"/>
    <w:rsid w:val="00757CF0"/>
    <w:rPr>
      <w:rFonts w:ascii="Calibri" w:eastAsia="Calibri" w:hAnsi="Calibri"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0758">
      <w:bodyDiv w:val="1"/>
      <w:marLeft w:val="0"/>
      <w:marRight w:val="0"/>
      <w:marTop w:val="0"/>
      <w:marBottom w:val="0"/>
      <w:divBdr>
        <w:top w:val="none" w:sz="0" w:space="0" w:color="auto"/>
        <w:left w:val="none" w:sz="0" w:space="0" w:color="auto"/>
        <w:bottom w:val="none" w:sz="0" w:space="0" w:color="auto"/>
        <w:right w:val="none" w:sz="0" w:space="0" w:color="auto"/>
      </w:divBdr>
    </w:div>
    <w:div w:id="1601989172">
      <w:bodyDiv w:val="1"/>
      <w:marLeft w:val="0"/>
      <w:marRight w:val="0"/>
      <w:marTop w:val="0"/>
      <w:marBottom w:val="0"/>
      <w:divBdr>
        <w:top w:val="none" w:sz="0" w:space="0" w:color="auto"/>
        <w:left w:val="none" w:sz="0" w:space="0" w:color="auto"/>
        <w:bottom w:val="none" w:sz="0" w:space="0" w:color="auto"/>
        <w:right w:val="none" w:sz="0" w:space="0" w:color="auto"/>
      </w:divBdr>
      <w:divsChild>
        <w:div w:id="965353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09654313.2022.21327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respol.2018.12.001" TargetMode="External"/><Relationship Id="rId5" Type="http://schemas.openxmlformats.org/officeDocument/2006/relationships/hyperlink" Target="mailto:gwalpole@cardiffmet.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Rhid walpole</dc:creator>
  <cp:keywords/>
  <dc:description/>
  <cp:lastModifiedBy>Snae, Adriana</cp:lastModifiedBy>
  <cp:revision>2</cp:revision>
  <dcterms:created xsi:type="dcterms:W3CDTF">2023-01-13T11:59:00Z</dcterms:created>
  <dcterms:modified xsi:type="dcterms:W3CDTF">2023-01-13T11:59:00Z</dcterms:modified>
</cp:coreProperties>
</file>