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9BC1" w14:textId="0A849625" w:rsidR="004762CB" w:rsidRPr="004219EB" w:rsidRDefault="00744D26" w:rsidP="004219EB">
      <w:pPr>
        <w:pStyle w:val="xparagraph"/>
        <w:spacing w:after="0" w:afterAutospacing="0" w:line="360" w:lineRule="auto"/>
        <w:jc w:val="both"/>
        <w:textAlignment w:val="baseline"/>
        <w:rPr>
          <w:rFonts w:asciiTheme="minorHAnsi" w:hAnsiTheme="minorHAnsi" w:cstheme="minorHAnsi"/>
          <w:sz w:val="22"/>
          <w:szCs w:val="22"/>
        </w:rPr>
      </w:pPr>
      <w:r w:rsidRPr="004219EB">
        <w:rPr>
          <w:rStyle w:val="xnormaltextrun"/>
          <w:rFonts w:asciiTheme="minorHAnsi" w:hAnsiTheme="minorHAnsi" w:cstheme="minorHAnsi"/>
          <w:b/>
          <w:bCs/>
          <w:sz w:val="22"/>
          <w:szCs w:val="22"/>
        </w:rPr>
        <w:t>Title</w:t>
      </w:r>
      <w:r w:rsidR="00705995" w:rsidRPr="004219EB">
        <w:rPr>
          <w:rStyle w:val="xeop"/>
          <w:rFonts w:asciiTheme="minorHAnsi" w:hAnsiTheme="minorHAnsi" w:cstheme="minorHAnsi"/>
          <w:b/>
          <w:bCs/>
          <w:sz w:val="22"/>
          <w:szCs w:val="22"/>
        </w:rPr>
        <w:t>:</w:t>
      </w:r>
      <w:r w:rsidR="00705995" w:rsidRPr="004219EB">
        <w:rPr>
          <w:rStyle w:val="xeop"/>
          <w:rFonts w:asciiTheme="minorHAnsi" w:hAnsiTheme="minorHAnsi" w:cstheme="minorHAnsi"/>
          <w:sz w:val="22"/>
          <w:szCs w:val="22"/>
        </w:rPr>
        <w:t xml:space="preserve"> </w:t>
      </w:r>
      <w:r w:rsidR="0085039C">
        <w:rPr>
          <w:rFonts w:asciiTheme="minorHAnsi" w:hAnsiTheme="minorHAnsi" w:cstheme="minorHAnsi"/>
          <w:i/>
          <w:iCs/>
          <w:sz w:val="22"/>
          <w:szCs w:val="22"/>
        </w:rPr>
        <w:t>Stronger, Fairer, Greener</w:t>
      </w:r>
      <w:r w:rsidR="00705995" w:rsidRPr="004219EB">
        <w:rPr>
          <w:rFonts w:asciiTheme="minorHAnsi" w:hAnsiTheme="minorHAnsi" w:cstheme="minorHAnsi"/>
          <w:i/>
          <w:iCs/>
          <w:sz w:val="22"/>
          <w:szCs w:val="22"/>
        </w:rPr>
        <w:t xml:space="preserve">: A social learning approach to </w:t>
      </w:r>
      <w:r w:rsidR="008F2E2E" w:rsidRPr="004219EB">
        <w:rPr>
          <w:rFonts w:asciiTheme="minorHAnsi" w:hAnsiTheme="minorHAnsi" w:cstheme="minorHAnsi"/>
          <w:i/>
          <w:iCs/>
          <w:sz w:val="22"/>
          <w:szCs w:val="22"/>
        </w:rPr>
        <w:t xml:space="preserve">supporting </w:t>
      </w:r>
      <w:r w:rsidR="0085039C">
        <w:rPr>
          <w:rFonts w:asciiTheme="minorHAnsi" w:hAnsiTheme="minorHAnsi" w:cstheme="minorHAnsi"/>
          <w:i/>
          <w:iCs/>
          <w:sz w:val="22"/>
          <w:szCs w:val="22"/>
        </w:rPr>
        <w:t xml:space="preserve">practitioners </w:t>
      </w:r>
      <w:r w:rsidR="008F2E2E" w:rsidRPr="004219EB">
        <w:rPr>
          <w:rFonts w:asciiTheme="minorHAnsi" w:hAnsiTheme="minorHAnsi" w:cstheme="minorHAnsi"/>
          <w:i/>
          <w:iCs/>
          <w:sz w:val="22"/>
          <w:szCs w:val="22"/>
        </w:rPr>
        <w:t>t</w:t>
      </w:r>
      <w:r w:rsidR="0085039C">
        <w:rPr>
          <w:rFonts w:asciiTheme="minorHAnsi" w:hAnsiTheme="minorHAnsi" w:cstheme="minorHAnsi"/>
          <w:i/>
          <w:iCs/>
          <w:sz w:val="22"/>
          <w:szCs w:val="22"/>
        </w:rPr>
        <w:t xml:space="preserve">o </w:t>
      </w:r>
      <w:r w:rsidR="00705995" w:rsidRPr="004219EB">
        <w:rPr>
          <w:rFonts w:asciiTheme="minorHAnsi" w:hAnsiTheme="minorHAnsi" w:cstheme="minorHAnsi"/>
          <w:i/>
          <w:iCs/>
          <w:sz w:val="22"/>
          <w:szCs w:val="22"/>
        </w:rPr>
        <w:t>operationalis</w:t>
      </w:r>
      <w:r w:rsidR="0085039C">
        <w:rPr>
          <w:rFonts w:asciiTheme="minorHAnsi" w:hAnsiTheme="minorHAnsi" w:cstheme="minorHAnsi"/>
          <w:i/>
          <w:iCs/>
          <w:sz w:val="22"/>
          <w:szCs w:val="22"/>
        </w:rPr>
        <w:t xml:space="preserve">e policy in Wales </w:t>
      </w:r>
    </w:p>
    <w:p w14:paraId="066634EC" w14:textId="5B36A519" w:rsidR="004762CB" w:rsidRPr="004219EB" w:rsidRDefault="004762CB" w:rsidP="004219EB">
      <w:pPr>
        <w:pStyle w:val="NormalWeb"/>
        <w:spacing w:line="360" w:lineRule="auto"/>
        <w:rPr>
          <w:rFonts w:asciiTheme="minorHAnsi" w:hAnsiTheme="minorHAnsi" w:cstheme="minorHAnsi"/>
          <w:b/>
          <w:bCs/>
          <w:sz w:val="22"/>
          <w:szCs w:val="22"/>
        </w:rPr>
      </w:pPr>
      <w:r w:rsidRPr="004219EB">
        <w:rPr>
          <w:rFonts w:asciiTheme="minorHAnsi" w:hAnsiTheme="minorHAnsi" w:cstheme="minorHAnsi"/>
          <w:b/>
          <w:bCs/>
          <w:sz w:val="22"/>
          <w:szCs w:val="22"/>
        </w:rPr>
        <w:t>List of authors</w:t>
      </w:r>
    </w:p>
    <w:p w14:paraId="4E1DDAAB" w14:textId="5BECEDD3" w:rsidR="004762CB" w:rsidRPr="004219EB" w:rsidRDefault="004762CB" w:rsidP="004219EB">
      <w:pPr>
        <w:pStyle w:val="NormalWeb"/>
        <w:spacing w:line="360" w:lineRule="auto"/>
        <w:rPr>
          <w:rFonts w:asciiTheme="minorHAnsi" w:hAnsiTheme="minorHAnsi" w:cstheme="minorHAnsi"/>
          <w:sz w:val="22"/>
          <w:szCs w:val="22"/>
        </w:rPr>
      </w:pPr>
      <w:r w:rsidRPr="004219EB">
        <w:rPr>
          <w:rFonts w:asciiTheme="minorHAnsi" w:hAnsiTheme="minorHAnsi" w:cstheme="minorHAnsi"/>
          <w:sz w:val="22"/>
          <w:szCs w:val="22"/>
        </w:rPr>
        <w:t>Dr Gary Walpole (Cardiff Metropolitan)</w:t>
      </w:r>
      <w:r w:rsidR="004219EB">
        <w:rPr>
          <w:rFonts w:asciiTheme="minorHAnsi" w:hAnsiTheme="minorHAnsi" w:cstheme="minorHAnsi"/>
          <w:sz w:val="22"/>
          <w:szCs w:val="22"/>
        </w:rPr>
        <w:t xml:space="preserve"> &amp; </w:t>
      </w:r>
      <w:r w:rsidRPr="004219EB">
        <w:rPr>
          <w:rFonts w:asciiTheme="minorHAnsi" w:hAnsiTheme="minorHAnsi" w:cstheme="minorHAnsi"/>
          <w:sz w:val="22"/>
          <w:szCs w:val="22"/>
        </w:rPr>
        <w:t xml:space="preserve">Ms Laura Steffes (Cardiff Metropolitan) </w:t>
      </w:r>
    </w:p>
    <w:p w14:paraId="6A5AA24B" w14:textId="77777777" w:rsidR="004762CB" w:rsidRPr="004219EB" w:rsidRDefault="004762CB" w:rsidP="004219EB">
      <w:pPr>
        <w:pStyle w:val="NormalWeb"/>
        <w:spacing w:line="360" w:lineRule="auto"/>
        <w:rPr>
          <w:rFonts w:asciiTheme="minorHAnsi" w:hAnsiTheme="minorHAnsi" w:cstheme="minorHAnsi"/>
          <w:b/>
          <w:bCs/>
          <w:sz w:val="22"/>
          <w:szCs w:val="22"/>
        </w:rPr>
      </w:pPr>
      <w:r w:rsidRPr="004219EB">
        <w:rPr>
          <w:rFonts w:asciiTheme="minorHAnsi" w:hAnsiTheme="minorHAnsi" w:cstheme="minorHAnsi"/>
          <w:b/>
          <w:bCs/>
          <w:sz w:val="22"/>
          <w:szCs w:val="22"/>
        </w:rPr>
        <w:t>Contact</w:t>
      </w:r>
    </w:p>
    <w:p w14:paraId="3210FEB9" w14:textId="77777777" w:rsidR="004762CB" w:rsidRPr="004219EB" w:rsidRDefault="004762CB" w:rsidP="004219EB">
      <w:pPr>
        <w:pStyle w:val="NormalWeb"/>
        <w:shd w:val="clear" w:color="auto" w:fill="FFFFFF"/>
        <w:spacing w:before="0" w:beforeAutospacing="0" w:after="0" w:afterAutospacing="0" w:line="360" w:lineRule="auto"/>
        <w:rPr>
          <w:rFonts w:asciiTheme="minorHAnsi" w:hAnsiTheme="minorHAnsi" w:cstheme="minorHAnsi"/>
          <w:color w:val="201F1E"/>
          <w:sz w:val="22"/>
          <w:szCs w:val="22"/>
        </w:rPr>
      </w:pPr>
      <w:r w:rsidRPr="004219EB">
        <w:rPr>
          <w:rFonts w:asciiTheme="minorHAnsi" w:hAnsiTheme="minorHAnsi" w:cstheme="minorHAnsi"/>
          <w:color w:val="000000"/>
          <w:sz w:val="22"/>
          <w:szCs w:val="22"/>
        </w:rPr>
        <w:t>Dr Gary Walpole</w:t>
      </w:r>
    </w:p>
    <w:p w14:paraId="5108D320" w14:textId="77777777" w:rsidR="004762CB" w:rsidRPr="004219EB" w:rsidRDefault="004762CB" w:rsidP="004219EB">
      <w:pPr>
        <w:pStyle w:val="NormalWeb"/>
        <w:shd w:val="clear" w:color="auto" w:fill="FFFFFF"/>
        <w:spacing w:before="0" w:beforeAutospacing="0" w:after="0" w:afterAutospacing="0" w:line="360" w:lineRule="auto"/>
        <w:rPr>
          <w:rFonts w:asciiTheme="minorHAnsi" w:hAnsiTheme="minorHAnsi" w:cstheme="minorHAnsi"/>
          <w:color w:val="000000"/>
          <w:sz w:val="22"/>
          <w:szCs w:val="22"/>
        </w:rPr>
      </w:pPr>
      <w:r w:rsidRPr="004219EB">
        <w:rPr>
          <w:rFonts w:asciiTheme="minorHAnsi" w:hAnsiTheme="minorHAnsi" w:cstheme="minorHAnsi"/>
          <w:color w:val="000000"/>
          <w:sz w:val="22"/>
          <w:szCs w:val="22"/>
        </w:rPr>
        <w:t xml:space="preserve">Director, Circular Economy Innovation Communities </w:t>
      </w:r>
    </w:p>
    <w:p w14:paraId="223E25EF" w14:textId="4262244C" w:rsidR="004762CB" w:rsidRPr="004219EB" w:rsidRDefault="004762CB" w:rsidP="004219EB">
      <w:pPr>
        <w:pStyle w:val="NormalWeb"/>
        <w:shd w:val="clear" w:color="auto" w:fill="FFFFFF"/>
        <w:spacing w:before="0" w:beforeAutospacing="0" w:after="0" w:afterAutospacing="0" w:line="360" w:lineRule="auto"/>
        <w:rPr>
          <w:rFonts w:asciiTheme="minorHAnsi" w:hAnsiTheme="minorHAnsi" w:cstheme="minorHAnsi"/>
          <w:color w:val="000000"/>
          <w:sz w:val="22"/>
          <w:szCs w:val="22"/>
        </w:rPr>
      </w:pPr>
      <w:r w:rsidRPr="004219EB">
        <w:rPr>
          <w:rFonts w:asciiTheme="minorHAnsi" w:hAnsiTheme="minorHAnsi" w:cstheme="minorHAnsi"/>
          <w:color w:val="000000"/>
          <w:sz w:val="22"/>
          <w:szCs w:val="22"/>
        </w:rPr>
        <w:t>Cardiff School of Management</w:t>
      </w:r>
      <w:r w:rsidR="004219EB">
        <w:rPr>
          <w:rFonts w:asciiTheme="minorHAnsi" w:hAnsiTheme="minorHAnsi" w:cstheme="minorHAnsi"/>
          <w:color w:val="000000"/>
          <w:sz w:val="22"/>
          <w:szCs w:val="22"/>
        </w:rPr>
        <w:t xml:space="preserve">, </w:t>
      </w:r>
      <w:r w:rsidRPr="004219EB">
        <w:rPr>
          <w:rFonts w:asciiTheme="minorHAnsi" w:hAnsiTheme="minorHAnsi" w:cstheme="minorHAnsi"/>
          <w:color w:val="000000"/>
          <w:sz w:val="22"/>
          <w:szCs w:val="22"/>
        </w:rPr>
        <w:t>Cardiff Metropolitan University</w:t>
      </w:r>
    </w:p>
    <w:p w14:paraId="454218D1" w14:textId="776514DF" w:rsidR="004762CB" w:rsidRPr="004219EB" w:rsidRDefault="004762CB" w:rsidP="004219EB">
      <w:pPr>
        <w:pStyle w:val="NormalWeb"/>
        <w:shd w:val="clear" w:color="auto" w:fill="FFFFFF"/>
        <w:spacing w:before="0" w:beforeAutospacing="0" w:after="0" w:afterAutospacing="0" w:line="360" w:lineRule="auto"/>
        <w:rPr>
          <w:rFonts w:asciiTheme="minorHAnsi" w:hAnsiTheme="minorHAnsi" w:cstheme="minorHAnsi"/>
          <w:color w:val="000000"/>
          <w:sz w:val="22"/>
          <w:szCs w:val="22"/>
        </w:rPr>
      </w:pPr>
      <w:r w:rsidRPr="004219EB">
        <w:rPr>
          <w:rFonts w:asciiTheme="minorHAnsi" w:hAnsiTheme="minorHAnsi" w:cstheme="minorHAnsi"/>
          <w:color w:val="000000"/>
          <w:sz w:val="22"/>
          <w:szCs w:val="22"/>
        </w:rPr>
        <w:t>Cardiff</w:t>
      </w:r>
      <w:r w:rsidR="004219EB">
        <w:rPr>
          <w:rFonts w:asciiTheme="minorHAnsi" w:hAnsiTheme="minorHAnsi" w:cstheme="minorHAnsi"/>
          <w:color w:val="000000"/>
          <w:sz w:val="22"/>
          <w:szCs w:val="22"/>
        </w:rPr>
        <w:t>, CF5 2YB.</w:t>
      </w:r>
    </w:p>
    <w:p w14:paraId="13BEDF59" w14:textId="77777777" w:rsidR="004762CB" w:rsidRPr="004219EB" w:rsidRDefault="004762CB" w:rsidP="004219EB">
      <w:pPr>
        <w:pStyle w:val="NormalWeb"/>
        <w:shd w:val="clear" w:color="auto" w:fill="FFFFFF"/>
        <w:spacing w:before="0" w:beforeAutospacing="0" w:after="0" w:afterAutospacing="0" w:line="360" w:lineRule="auto"/>
        <w:rPr>
          <w:rFonts w:asciiTheme="minorHAnsi" w:hAnsiTheme="minorHAnsi" w:cstheme="minorHAnsi"/>
          <w:color w:val="201F1E"/>
          <w:sz w:val="22"/>
          <w:szCs w:val="22"/>
        </w:rPr>
      </w:pPr>
      <w:r w:rsidRPr="004219EB">
        <w:rPr>
          <w:rFonts w:asciiTheme="minorHAnsi" w:hAnsiTheme="minorHAnsi" w:cstheme="minorHAnsi"/>
          <w:color w:val="000000"/>
          <w:sz w:val="22"/>
          <w:szCs w:val="22"/>
        </w:rPr>
        <w:t>gwalpole@cardiffmet.ac.uk</w:t>
      </w:r>
    </w:p>
    <w:p w14:paraId="279C6397" w14:textId="77777777" w:rsidR="004762CB" w:rsidRPr="004219EB" w:rsidRDefault="004762CB" w:rsidP="00D602A4"/>
    <w:p w14:paraId="7CAB50AC" w14:textId="4CD07A33" w:rsidR="008F2E2E" w:rsidRPr="006E2EE8" w:rsidRDefault="004762CB" w:rsidP="004219EB">
      <w:pPr>
        <w:spacing w:line="360" w:lineRule="auto"/>
        <w:rPr>
          <w:rFonts w:cstheme="minorHAnsi"/>
          <w:sz w:val="22"/>
          <w:szCs w:val="22"/>
        </w:rPr>
      </w:pPr>
      <w:r w:rsidRPr="004219EB">
        <w:rPr>
          <w:rFonts w:cstheme="minorHAnsi"/>
          <w:b/>
          <w:bCs/>
          <w:sz w:val="22"/>
          <w:szCs w:val="22"/>
        </w:rPr>
        <w:t>Keywords:</w:t>
      </w:r>
      <w:r w:rsidRPr="004219EB">
        <w:rPr>
          <w:rFonts w:cstheme="minorHAnsi"/>
          <w:sz w:val="22"/>
          <w:szCs w:val="22"/>
        </w:rPr>
        <w:t xml:space="preserve"> Circular Economy, Innovation capability, social learning theory, </w:t>
      </w:r>
      <w:r w:rsidR="008F2E2E" w:rsidRPr="004219EB">
        <w:rPr>
          <w:rFonts w:cstheme="minorHAnsi"/>
          <w:sz w:val="22"/>
          <w:szCs w:val="22"/>
        </w:rPr>
        <w:t xml:space="preserve">knowledge management, practitioner learning, </w:t>
      </w:r>
      <w:r w:rsidR="00A63DAC">
        <w:rPr>
          <w:rFonts w:cstheme="minorHAnsi"/>
          <w:sz w:val="22"/>
          <w:szCs w:val="22"/>
        </w:rPr>
        <w:t>regional innovation</w:t>
      </w:r>
      <w:r w:rsidR="00DF1A71">
        <w:rPr>
          <w:rFonts w:cstheme="minorHAnsi"/>
          <w:sz w:val="22"/>
          <w:szCs w:val="22"/>
        </w:rPr>
        <w:t>, place-based approaches</w:t>
      </w:r>
      <w:r w:rsidRPr="004219EB">
        <w:rPr>
          <w:rFonts w:cstheme="minorHAnsi"/>
          <w:sz w:val="22"/>
          <w:szCs w:val="22"/>
        </w:rPr>
        <w:t>.</w:t>
      </w:r>
    </w:p>
    <w:p w14:paraId="700DB4BD" w14:textId="0C9CB3B2" w:rsidR="004762CB" w:rsidRPr="0060464F" w:rsidRDefault="006E2EE8" w:rsidP="0060464F">
      <w:pPr>
        <w:pStyle w:val="xparagraph"/>
        <w:spacing w:after="0" w:afterAutospacing="0" w:line="360" w:lineRule="auto"/>
        <w:jc w:val="both"/>
        <w:textAlignment w:val="baseline"/>
        <w:rPr>
          <w:rFonts w:asciiTheme="minorHAnsi" w:hAnsiTheme="minorHAnsi" w:cstheme="minorHAnsi"/>
          <w:b/>
          <w:bCs/>
          <w:sz w:val="22"/>
          <w:szCs w:val="22"/>
        </w:rPr>
      </w:pPr>
      <w:r w:rsidRPr="006E2EE8">
        <w:rPr>
          <w:rStyle w:val="xnormaltextrun"/>
          <w:rFonts w:asciiTheme="minorHAnsi" w:hAnsiTheme="minorHAnsi" w:cstheme="minorHAnsi"/>
          <w:b/>
          <w:bCs/>
          <w:sz w:val="22"/>
          <w:szCs w:val="22"/>
        </w:rPr>
        <w:t xml:space="preserve">Introduction </w:t>
      </w:r>
    </w:p>
    <w:p w14:paraId="2F79B5D7" w14:textId="77C6B8E3" w:rsidR="006E2EE8" w:rsidRPr="0085039C" w:rsidRDefault="004762CB" w:rsidP="00067DE8">
      <w:pPr>
        <w:spacing w:line="360" w:lineRule="auto"/>
        <w:rPr>
          <w:rFonts w:cstheme="minorHAnsi"/>
          <w:color w:val="000000"/>
          <w:sz w:val="22"/>
          <w:szCs w:val="22"/>
        </w:rPr>
      </w:pPr>
      <w:r w:rsidRPr="004219EB">
        <w:rPr>
          <w:rFonts w:cstheme="minorHAnsi"/>
          <w:color w:val="000000"/>
          <w:sz w:val="22"/>
          <w:szCs w:val="22"/>
        </w:rPr>
        <w:t xml:space="preserve">Public Service Organisations (PSOs) in Wales have </w:t>
      </w:r>
      <w:r w:rsidR="008F2E2E" w:rsidRPr="004219EB">
        <w:rPr>
          <w:rFonts w:cstheme="minorHAnsi"/>
          <w:color w:val="000000"/>
          <w:sz w:val="22"/>
          <w:szCs w:val="22"/>
        </w:rPr>
        <w:t>recently experienced</w:t>
      </w:r>
      <w:r w:rsidRPr="004219EB">
        <w:rPr>
          <w:rFonts w:cstheme="minorHAnsi"/>
          <w:color w:val="000000"/>
          <w:sz w:val="22"/>
          <w:szCs w:val="22"/>
        </w:rPr>
        <w:t xml:space="preserve"> a ‘perfect storm’, dealing with challenges including the task demands of COVID-19, increased financial pressures derived from the pandemic and its impact on future revenue flows, obligations to meet 2030 Net Zero targets, Welsh Future Generations Act (201</w:t>
      </w:r>
      <w:r w:rsidR="008F2E2E" w:rsidRPr="004219EB">
        <w:rPr>
          <w:rFonts w:cstheme="minorHAnsi"/>
          <w:color w:val="000000"/>
          <w:sz w:val="22"/>
          <w:szCs w:val="22"/>
        </w:rPr>
        <w:t>5</w:t>
      </w:r>
      <w:r w:rsidRPr="004219EB">
        <w:rPr>
          <w:rFonts w:cstheme="minorHAnsi"/>
          <w:color w:val="000000"/>
          <w:sz w:val="22"/>
          <w:szCs w:val="22"/>
        </w:rPr>
        <w:t xml:space="preserve">) legislation and </w:t>
      </w:r>
      <w:r w:rsidR="008F2E2E" w:rsidRPr="004219EB">
        <w:rPr>
          <w:rFonts w:cstheme="minorHAnsi"/>
          <w:color w:val="000000"/>
          <w:sz w:val="22"/>
          <w:szCs w:val="22"/>
        </w:rPr>
        <w:t xml:space="preserve">Foundational Economy </w:t>
      </w:r>
      <w:r w:rsidR="006E2EE8">
        <w:rPr>
          <w:rFonts w:cstheme="minorHAnsi"/>
          <w:color w:val="000000"/>
          <w:sz w:val="22"/>
          <w:szCs w:val="22"/>
        </w:rPr>
        <w:t>policies</w:t>
      </w:r>
      <w:r w:rsidRPr="004219EB">
        <w:rPr>
          <w:rFonts w:cstheme="minorHAnsi"/>
          <w:color w:val="000000"/>
          <w:sz w:val="22"/>
          <w:szCs w:val="22"/>
        </w:rPr>
        <w:t xml:space="preserve">. These challenges have highlighted the requirement for PSOs to enhance their innovation capabilities </w:t>
      </w:r>
      <w:bookmarkStart w:id="0" w:name="_Hlk153387458"/>
      <w:r w:rsidRPr="00047E33">
        <w:rPr>
          <w:rFonts w:cstheme="minorHAnsi"/>
          <w:color w:val="000000"/>
          <w:sz w:val="22"/>
          <w:szCs w:val="22"/>
        </w:rPr>
        <w:t>(Arundel et al. 2019</w:t>
      </w:r>
      <w:bookmarkEnd w:id="0"/>
      <w:r w:rsidRPr="00047E33">
        <w:rPr>
          <w:rFonts w:cstheme="minorHAnsi"/>
          <w:color w:val="000000"/>
          <w:sz w:val="22"/>
          <w:szCs w:val="22"/>
        </w:rPr>
        <w:t>) in order</w:t>
      </w:r>
      <w:r w:rsidRPr="004219EB">
        <w:rPr>
          <w:rFonts w:cstheme="minorHAnsi"/>
          <w:color w:val="000000"/>
          <w:sz w:val="22"/>
          <w:szCs w:val="22"/>
        </w:rPr>
        <w:t xml:space="preserve"> </w:t>
      </w:r>
      <w:r w:rsidR="008F2E2E" w:rsidRPr="004219EB">
        <w:rPr>
          <w:rFonts w:cstheme="minorHAnsi"/>
          <w:color w:val="000000"/>
          <w:sz w:val="22"/>
          <w:szCs w:val="22"/>
        </w:rPr>
        <w:t xml:space="preserve">operationalise the new concepts (Foundational Economy, Circular </w:t>
      </w:r>
      <w:r w:rsidR="006E2EE8" w:rsidRPr="00067DE8">
        <w:rPr>
          <w:rFonts w:cstheme="minorHAnsi"/>
          <w:color w:val="000000"/>
          <w:sz w:val="22"/>
          <w:szCs w:val="22"/>
        </w:rPr>
        <w:t>Economy,</w:t>
      </w:r>
      <w:r w:rsidR="008F2E2E" w:rsidRPr="00067DE8">
        <w:rPr>
          <w:rFonts w:cstheme="minorHAnsi"/>
          <w:color w:val="000000"/>
          <w:sz w:val="22"/>
          <w:szCs w:val="22"/>
        </w:rPr>
        <w:t xml:space="preserve"> and Social Value) that they are obliged to deploy </w:t>
      </w:r>
      <w:r w:rsidR="00BC1357" w:rsidRPr="00067DE8">
        <w:rPr>
          <w:rFonts w:cstheme="minorHAnsi"/>
          <w:color w:val="000000"/>
          <w:sz w:val="22"/>
          <w:szCs w:val="22"/>
        </w:rPr>
        <w:t>to</w:t>
      </w:r>
      <w:r w:rsidR="008F2E2E" w:rsidRPr="00067DE8">
        <w:rPr>
          <w:rFonts w:cstheme="minorHAnsi"/>
          <w:color w:val="000000"/>
          <w:sz w:val="22"/>
          <w:szCs w:val="22"/>
        </w:rPr>
        <w:t xml:space="preserve"> support Welsh Government deliver a ‘Stronger, fairer, greener, </w:t>
      </w:r>
      <w:proofErr w:type="spellStart"/>
      <w:r w:rsidR="008F2E2E" w:rsidRPr="00AA4F47">
        <w:rPr>
          <w:rFonts w:cstheme="minorHAnsi"/>
          <w:color w:val="000000"/>
          <w:sz w:val="22"/>
          <w:szCs w:val="22"/>
        </w:rPr>
        <w:t>Wales</w:t>
      </w:r>
      <w:r w:rsidR="008062DD">
        <w:rPr>
          <w:rFonts w:cstheme="minorHAnsi"/>
          <w:color w:val="000000"/>
          <w:sz w:val="22"/>
          <w:szCs w:val="22"/>
        </w:rPr>
        <w:t>’</w:t>
      </w:r>
      <w:proofErr w:type="spellEnd"/>
      <w:r w:rsidR="008F2E2E" w:rsidRPr="00AA4F47">
        <w:rPr>
          <w:rFonts w:cstheme="minorHAnsi"/>
          <w:color w:val="000000"/>
          <w:sz w:val="22"/>
          <w:szCs w:val="22"/>
        </w:rPr>
        <w:t xml:space="preserve"> (Welsh Government, 202</w:t>
      </w:r>
      <w:r w:rsidR="00A75F73" w:rsidRPr="00AA4F47">
        <w:rPr>
          <w:rFonts w:cstheme="minorHAnsi"/>
          <w:color w:val="000000"/>
          <w:sz w:val="22"/>
          <w:szCs w:val="22"/>
        </w:rPr>
        <w:t>2</w:t>
      </w:r>
      <w:r w:rsidR="008F2E2E" w:rsidRPr="00AA4F47">
        <w:rPr>
          <w:rFonts w:cstheme="minorHAnsi"/>
          <w:color w:val="000000"/>
          <w:sz w:val="22"/>
          <w:szCs w:val="22"/>
        </w:rPr>
        <w:t xml:space="preserve">). </w:t>
      </w:r>
      <w:r w:rsidR="0060464F" w:rsidRPr="00AA4F47">
        <w:rPr>
          <w:rFonts w:cstheme="minorHAnsi"/>
          <w:color w:val="000000"/>
          <w:sz w:val="22"/>
          <w:szCs w:val="22"/>
        </w:rPr>
        <w:t>However</w:t>
      </w:r>
      <w:r w:rsidR="0060464F" w:rsidRPr="00067DE8">
        <w:rPr>
          <w:rFonts w:cstheme="minorHAnsi"/>
          <w:color w:val="000000"/>
          <w:sz w:val="22"/>
          <w:szCs w:val="22"/>
        </w:rPr>
        <w:t xml:space="preserve">, unless practitioners </w:t>
      </w:r>
      <w:r w:rsidR="0060464F" w:rsidRPr="0085039C">
        <w:rPr>
          <w:rFonts w:cstheme="minorHAnsi"/>
          <w:color w:val="000000"/>
          <w:sz w:val="22"/>
          <w:szCs w:val="22"/>
        </w:rPr>
        <w:t xml:space="preserve">fully understand the new </w:t>
      </w:r>
      <w:r w:rsidR="00451D25" w:rsidRPr="0085039C">
        <w:rPr>
          <w:rFonts w:cstheme="minorHAnsi"/>
          <w:color w:val="000000"/>
          <w:sz w:val="22"/>
          <w:szCs w:val="22"/>
        </w:rPr>
        <w:t>concepts,</w:t>
      </w:r>
      <w:r w:rsidR="0060464F" w:rsidRPr="0085039C">
        <w:rPr>
          <w:rFonts w:cstheme="minorHAnsi"/>
          <w:color w:val="000000"/>
          <w:sz w:val="22"/>
          <w:szCs w:val="22"/>
        </w:rPr>
        <w:t xml:space="preserve"> they are unlikely to implement</w:t>
      </w:r>
      <w:r w:rsidR="008062DD">
        <w:rPr>
          <w:rFonts w:cstheme="minorHAnsi"/>
          <w:color w:val="000000"/>
          <w:sz w:val="22"/>
          <w:szCs w:val="22"/>
        </w:rPr>
        <w:t xml:space="preserve"> </w:t>
      </w:r>
      <w:proofErr w:type="spellStart"/>
      <w:r w:rsidR="008062DD">
        <w:rPr>
          <w:rFonts w:cstheme="minorHAnsi"/>
          <w:color w:val="000000"/>
          <w:sz w:val="22"/>
          <w:szCs w:val="22"/>
        </w:rPr>
        <w:t>succesfully</w:t>
      </w:r>
      <w:proofErr w:type="spellEnd"/>
      <w:r w:rsidR="0060464F" w:rsidRPr="00D0529A">
        <w:rPr>
          <w:rFonts w:cstheme="minorHAnsi"/>
          <w:color w:val="000000"/>
          <w:sz w:val="22"/>
          <w:szCs w:val="22"/>
        </w:rPr>
        <w:t xml:space="preserve"> (Walpole et al, 2023).</w:t>
      </w:r>
      <w:r w:rsidR="0060464F" w:rsidRPr="0085039C">
        <w:rPr>
          <w:rFonts w:cstheme="minorHAnsi"/>
          <w:color w:val="000000"/>
          <w:sz w:val="22"/>
          <w:szCs w:val="22"/>
        </w:rPr>
        <w:t xml:space="preserve"> </w:t>
      </w:r>
    </w:p>
    <w:p w14:paraId="5A82A4B6" w14:textId="12DA7EB7" w:rsidR="00067DE8" w:rsidRDefault="00DF1A71" w:rsidP="00067DE8">
      <w:pPr>
        <w:spacing w:line="360" w:lineRule="auto"/>
        <w:rPr>
          <w:rFonts w:eastAsia="Calibri" w:cstheme="minorHAnsi"/>
          <w:sz w:val="22"/>
          <w:szCs w:val="22"/>
        </w:rPr>
      </w:pPr>
      <w:r w:rsidRPr="00067DE8">
        <w:rPr>
          <w:rFonts w:eastAsia="Calibri" w:cstheme="minorHAnsi"/>
          <w:sz w:val="22"/>
          <w:szCs w:val="22"/>
        </w:rPr>
        <w:t xml:space="preserve">The paper </w:t>
      </w:r>
      <w:r w:rsidR="00280B31" w:rsidRPr="00067DE8">
        <w:rPr>
          <w:rFonts w:eastAsia="Calibri" w:cstheme="minorHAnsi"/>
          <w:sz w:val="22"/>
          <w:szCs w:val="22"/>
        </w:rPr>
        <w:t xml:space="preserve">presents qualitative and quantitative data collected from the </w:t>
      </w:r>
      <w:r w:rsidR="007A0C53">
        <w:rPr>
          <w:rFonts w:eastAsia="Calibri" w:cstheme="minorHAnsi"/>
          <w:sz w:val="22"/>
          <w:szCs w:val="22"/>
        </w:rPr>
        <w:t>101</w:t>
      </w:r>
      <w:r w:rsidR="00280B31" w:rsidRPr="00067DE8">
        <w:rPr>
          <w:rFonts w:eastAsia="Calibri" w:cstheme="minorHAnsi"/>
          <w:sz w:val="22"/>
          <w:szCs w:val="22"/>
        </w:rPr>
        <w:t xml:space="preserve"> participants from a series of half day workshop that applied </w:t>
      </w:r>
      <w:r w:rsidR="00280B31" w:rsidRPr="00047E33">
        <w:rPr>
          <w:rFonts w:eastAsia="Calibri" w:cstheme="minorHAnsi"/>
          <w:sz w:val="22"/>
          <w:szCs w:val="22"/>
        </w:rPr>
        <w:t xml:space="preserve">the </w:t>
      </w:r>
      <w:bookmarkStart w:id="1" w:name="_Hlk153387427"/>
      <w:r w:rsidR="00280B31" w:rsidRPr="00047E33">
        <w:rPr>
          <w:rFonts w:eastAsia="Calibri" w:cstheme="minorHAnsi"/>
          <w:sz w:val="22"/>
          <w:szCs w:val="22"/>
        </w:rPr>
        <w:t xml:space="preserve">Nonaka and Takeuchi (1995) </w:t>
      </w:r>
      <w:bookmarkEnd w:id="1"/>
      <w:r w:rsidR="00280B31" w:rsidRPr="00047E33">
        <w:rPr>
          <w:rFonts w:eastAsia="Calibri" w:cstheme="minorHAnsi"/>
          <w:sz w:val="22"/>
          <w:szCs w:val="22"/>
        </w:rPr>
        <w:t xml:space="preserve">SECI model within a Social Learning Space (Wenger &amp; Wenger-Trayner, 2020) informed pedagogical design.  The paper </w:t>
      </w:r>
      <w:r w:rsidRPr="00047E33">
        <w:rPr>
          <w:rFonts w:eastAsia="Calibri" w:cstheme="minorHAnsi"/>
          <w:sz w:val="22"/>
          <w:szCs w:val="22"/>
        </w:rPr>
        <w:t xml:space="preserve">reviews published academic literature on the </w:t>
      </w:r>
      <w:r w:rsidR="00280B31" w:rsidRPr="00047E33">
        <w:rPr>
          <w:rFonts w:eastAsia="Calibri" w:cstheme="minorHAnsi"/>
          <w:sz w:val="22"/>
          <w:szCs w:val="22"/>
        </w:rPr>
        <w:t xml:space="preserve">development of </w:t>
      </w:r>
      <w:r w:rsidR="00C503D0" w:rsidRPr="00047E33">
        <w:rPr>
          <w:rFonts w:eastAsia="Calibri" w:cstheme="minorHAnsi"/>
          <w:sz w:val="22"/>
          <w:szCs w:val="22"/>
        </w:rPr>
        <w:t>practitioners’</w:t>
      </w:r>
      <w:r w:rsidR="00280B31" w:rsidRPr="00047E33">
        <w:rPr>
          <w:rFonts w:eastAsia="Calibri" w:cstheme="minorHAnsi"/>
          <w:sz w:val="22"/>
          <w:szCs w:val="22"/>
        </w:rPr>
        <w:t xml:space="preserve"> </w:t>
      </w:r>
      <w:r w:rsidR="00067DE8" w:rsidRPr="00047E33">
        <w:rPr>
          <w:rFonts w:eastAsia="Calibri" w:cstheme="minorHAnsi"/>
          <w:sz w:val="22"/>
          <w:szCs w:val="22"/>
        </w:rPr>
        <w:t xml:space="preserve">capabilities </w:t>
      </w:r>
      <w:r w:rsidR="00280B31" w:rsidRPr="00047E33">
        <w:rPr>
          <w:rFonts w:eastAsia="Calibri" w:cstheme="minorHAnsi"/>
          <w:sz w:val="22"/>
          <w:szCs w:val="22"/>
        </w:rPr>
        <w:t xml:space="preserve">to </w:t>
      </w:r>
      <w:r w:rsidRPr="00047E33">
        <w:rPr>
          <w:rFonts w:eastAsia="Calibri" w:cstheme="minorHAnsi"/>
          <w:sz w:val="22"/>
          <w:szCs w:val="22"/>
        </w:rPr>
        <w:t>implement</w:t>
      </w:r>
      <w:r w:rsidR="00280B31" w:rsidRPr="00067DE8">
        <w:rPr>
          <w:rFonts w:eastAsia="Calibri" w:cstheme="minorHAnsi"/>
          <w:sz w:val="22"/>
          <w:szCs w:val="22"/>
        </w:rPr>
        <w:t xml:space="preserve"> new concepts, like </w:t>
      </w:r>
      <w:r w:rsidRPr="00067DE8">
        <w:rPr>
          <w:rFonts w:eastAsia="Calibri" w:cstheme="minorHAnsi"/>
          <w:sz w:val="22"/>
          <w:szCs w:val="22"/>
        </w:rPr>
        <w:t xml:space="preserve">CE </w:t>
      </w:r>
      <w:r w:rsidR="00280B31" w:rsidRPr="00067DE8">
        <w:rPr>
          <w:rFonts w:eastAsia="Calibri" w:cstheme="minorHAnsi"/>
          <w:sz w:val="22"/>
          <w:szCs w:val="22"/>
        </w:rPr>
        <w:t xml:space="preserve">and </w:t>
      </w:r>
      <w:r w:rsidR="00280B31" w:rsidRPr="0085039C">
        <w:rPr>
          <w:rFonts w:eastAsia="Calibri" w:cstheme="minorHAnsi"/>
          <w:sz w:val="22"/>
          <w:szCs w:val="22"/>
        </w:rPr>
        <w:t xml:space="preserve">FE </w:t>
      </w:r>
      <w:r w:rsidRPr="0085039C">
        <w:rPr>
          <w:rFonts w:eastAsia="Calibri" w:cstheme="minorHAnsi"/>
          <w:sz w:val="22"/>
          <w:szCs w:val="22"/>
        </w:rPr>
        <w:t>principles</w:t>
      </w:r>
      <w:r w:rsidR="00067DE8" w:rsidRPr="0085039C">
        <w:rPr>
          <w:rFonts w:eastAsia="Calibri" w:cstheme="minorHAnsi"/>
          <w:sz w:val="22"/>
          <w:szCs w:val="22"/>
        </w:rPr>
        <w:t xml:space="preserve">, and </w:t>
      </w:r>
      <w:r w:rsidR="002F61BA" w:rsidRPr="0085039C">
        <w:rPr>
          <w:rFonts w:eastAsia="Calibri" w:cstheme="minorHAnsi"/>
          <w:sz w:val="22"/>
          <w:szCs w:val="22"/>
        </w:rPr>
        <w:t>contributes</w:t>
      </w:r>
      <w:r w:rsidR="00067DE8" w:rsidRPr="0085039C">
        <w:rPr>
          <w:rFonts w:eastAsia="Calibri" w:cstheme="minorHAnsi"/>
          <w:sz w:val="22"/>
          <w:szCs w:val="22"/>
        </w:rPr>
        <w:t xml:space="preserve"> to the nascent literature on the application of contemporary pedagogical practices</w:t>
      </w:r>
      <w:r w:rsidR="0085039C" w:rsidRPr="0085039C">
        <w:rPr>
          <w:rFonts w:eastAsia="Calibri" w:cstheme="minorHAnsi"/>
          <w:sz w:val="22"/>
          <w:szCs w:val="22"/>
        </w:rPr>
        <w:t xml:space="preserve"> to support practitioners</w:t>
      </w:r>
      <w:r w:rsidR="008062DD">
        <w:rPr>
          <w:rFonts w:eastAsia="Calibri" w:cstheme="minorHAnsi"/>
          <w:sz w:val="22"/>
          <w:szCs w:val="22"/>
        </w:rPr>
        <w:t xml:space="preserve"> to innovate</w:t>
      </w:r>
      <w:r w:rsidR="00067DE8" w:rsidRPr="0085039C">
        <w:rPr>
          <w:rFonts w:eastAsia="Calibri" w:cstheme="minorHAnsi"/>
          <w:sz w:val="22"/>
          <w:szCs w:val="22"/>
        </w:rPr>
        <w:t>.</w:t>
      </w:r>
      <w:r w:rsidR="008062DD">
        <w:rPr>
          <w:rFonts w:eastAsia="Calibri" w:cstheme="minorHAnsi"/>
          <w:sz w:val="22"/>
          <w:szCs w:val="22"/>
        </w:rPr>
        <w:t xml:space="preserve">  </w:t>
      </w:r>
      <w:r w:rsidR="008062DD" w:rsidRPr="0085039C">
        <w:rPr>
          <w:rFonts w:eastAsia="Calibri" w:cstheme="minorHAnsi"/>
          <w:sz w:val="22"/>
          <w:szCs w:val="22"/>
        </w:rPr>
        <w:t xml:space="preserve">This paper provides insights for practitioners, </w:t>
      </w:r>
      <w:proofErr w:type="gramStart"/>
      <w:r w:rsidR="008062DD" w:rsidRPr="0085039C">
        <w:rPr>
          <w:rFonts w:eastAsia="Calibri" w:cstheme="minorHAnsi"/>
          <w:sz w:val="22"/>
          <w:szCs w:val="22"/>
        </w:rPr>
        <w:t>academics</w:t>
      </w:r>
      <w:proofErr w:type="gramEnd"/>
      <w:r w:rsidR="008062DD" w:rsidRPr="0085039C">
        <w:rPr>
          <w:rFonts w:eastAsia="Calibri" w:cstheme="minorHAnsi"/>
          <w:sz w:val="22"/>
          <w:szCs w:val="22"/>
        </w:rPr>
        <w:t xml:space="preserve"> and policymakers</w:t>
      </w:r>
      <w:r w:rsidR="008062DD" w:rsidRPr="00AA4F47">
        <w:rPr>
          <w:rFonts w:eastAsia="Calibri" w:cstheme="minorHAnsi"/>
          <w:sz w:val="22"/>
          <w:szCs w:val="22"/>
        </w:rPr>
        <w:t>.</w:t>
      </w:r>
    </w:p>
    <w:p w14:paraId="51E06AC5" w14:textId="77777777" w:rsidR="0085039C" w:rsidRDefault="0085039C" w:rsidP="00067DE8">
      <w:pPr>
        <w:spacing w:line="360" w:lineRule="auto"/>
        <w:rPr>
          <w:rFonts w:eastAsia="Calibri" w:cstheme="minorHAnsi"/>
          <w:sz w:val="22"/>
          <w:szCs w:val="22"/>
        </w:rPr>
      </w:pPr>
    </w:p>
    <w:p w14:paraId="49D3F56C" w14:textId="50110630" w:rsidR="00DF1A71" w:rsidRDefault="00067DE8" w:rsidP="004219EB">
      <w:pPr>
        <w:spacing w:line="360" w:lineRule="auto"/>
        <w:rPr>
          <w:rFonts w:eastAsia="Calibri" w:cstheme="minorHAnsi"/>
          <w:b/>
          <w:bCs/>
          <w:sz w:val="22"/>
          <w:szCs w:val="22"/>
        </w:rPr>
      </w:pPr>
      <w:r w:rsidRPr="00067DE8">
        <w:rPr>
          <w:rFonts w:eastAsia="Calibri" w:cstheme="minorHAnsi"/>
          <w:b/>
          <w:bCs/>
          <w:sz w:val="22"/>
          <w:szCs w:val="22"/>
        </w:rPr>
        <w:lastRenderedPageBreak/>
        <w:t>B</w:t>
      </w:r>
      <w:r w:rsidRPr="00067DE8">
        <w:rPr>
          <w:rStyle w:val="xnormaltextrun"/>
          <w:rFonts w:cstheme="minorHAnsi"/>
          <w:b/>
          <w:bCs/>
          <w:sz w:val="22"/>
          <w:szCs w:val="22"/>
        </w:rPr>
        <w:t>ackground</w:t>
      </w:r>
    </w:p>
    <w:p w14:paraId="5698EA43" w14:textId="77777777" w:rsidR="00067DE8" w:rsidRPr="00067DE8" w:rsidRDefault="00067DE8" w:rsidP="004219EB">
      <w:pPr>
        <w:spacing w:line="360" w:lineRule="auto"/>
        <w:rPr>
          <w:rFonts w:eastAsia="Calibri" w:cstheme="minorHAnsi"/>
          <w:b/>
          <w:bCs/>
          <w:sz w:val="22"/>
          <w:szCs w:val="22"/>
        </w:rPr>
      </w:pPr>
    </w:p>
    <w:p w14:paraId="26B6786F" w14:textId="46ED28EE" w:rsidR="005C6A6F" w:rsidRPr="0099564F" w:rsidRDefault="0060464F" w:rsidP="00F37479">
      <w:pPr>
        <w:spacing w:line="360" w:lineRule="auto"/>
        <w:jc w:val="both"/>
        <w:rPr>
          <w:rStyle w:val="Hyperlink"/>
          <w:color w:val="auto"/>
          <w:sz w:val="22"/>
          <w:szCs w:val="22"/>
          <w:u w:val="none"/>
        </w:rPr>
      </w:pPr>
      <w:r w:rsidRPr="0010083F">
        <w:rPr>
          <w:rFonts w:cstheme="minorHAnsi"/>
          <w:color w:val="000000"/>
          <w:sz w:val="22"/>
          <w:szCs w:val="22"/>
        </w:rPr>
        <w:t>The challenges facing PSOs in Wales to reach net zero targets</w:t>
      </w:r>
      <w:r w:rsidR="0085039C">
        <w:rPr>
          <w:rFonts w:cstheme="minorHAnsi"/>
          <w:color w:val="000000"/>
          <w:sz w:val="22"/>
          <w:szCs w:val="22"/>
        </w:rPr>
        <w:t>, implement foundational economy principles</w:t>
      </w:r>
      <w:r w:rsidRPr="0010083F">
        <w:rPr>
          <w:rFonts w:cstheme="minorHAnsi"/>
          <w:color w:val="000000"/>
          <w:sz w:val="22"/>
          <w:szCs w:val="22"/>
        </w:rPr>
        <w:t xml:space="preserve"> and embed the five ways of working of the WFGA (2015) are common and therefore </w:t>
      </w:r>
      <w:r w:rsidR="0085039C">
        <w:rPr>
          <w:rFonts w:cstheme="minorHAnsi"/>
          <w:color w:val="000000"/>
          <w:sz w:val="22"/>
          <w:szCs w:val="22"/>
        </w:rPr>
        <w:t xml:space="preserve">supporting practitioners to fully understand </w:t>
      </w:r>
      <w:r w:rsidRPr="0010083F">
        <w:rPr>
          <w:rFonts w:cstheme="minorHAnsi"/>
          <w:color w:val="000000"/>
          <w:sz w:val="22"/>
          <w:szCs w:val="22"/>
        </w:rPr>
        <w:t xml:space="preserve">the </w:t>
      </w:r>
      <w:r w:rsidR="0085039C">
        <w:rPr>
          <w:rFonts w:cstheme="minorHAnsi"/>
          <w:color w:val="000000"/>
          <w:sz w:val="22"/>
          <w:szCs w:val="22"/>
        </w:rPr>
        <w:t xml:space="preserve">concepts </w:t>
      </w:r>
      <w:r w:rsidR="005B4E3F">
        <w:rPr>
          <w:rFonts w:cstheme="minorHAnsi"/>
          <w:color w:val="000000"/>
          <w:sz w:val="22"/>
          <w:szCs w:val="22"/>
        </w:rPr>
        <w:t>to</w:t>
      </w:r>
      <w:r w:rsidR="0085039C">
        <w:rPr>
          <w:rFonts w:cstheme="minorHAnsi"/>
          <w:color w:val="000000"/>
          <w:sz w:val="22"/>
          <w:szCs w:val="22"/>
        </w:rPr>
        <w:t xml:space="preserve"> operationalise </w:t>
      </w:r>
      <w:r w:rsidR="005B4E3F">
        <w:rPr>
          <w:rFonts w:cstheme="minorHAnsi"/>
          <w:color w:val="000000"/>
          <w:sz w:val="22"/>
          <w:szCs w:val="22"/>
        </w:rPr>
        <w:t xml:space="preserve">appear to be of </w:t>
      </w:r>
      <w:r w:rsidRPr="0010083F">
        <w:rPr>
          <w:rFonts w:cstheme="minorHAnsi"/>
          <w:color w:val="000000"/>
          <w:sz w:val="22"/>
          <w:szCs w:val="22"/>
        </w:rPr>
        <w:t>real value (</w:t>
      </w:r>
      <w:r w:rsidR="005B4E3F" w:rsidRPr="00901F2D">
        <w:rPr>
          <w:rFonts w:cstheme="minorHAnsi"/>
          <w:color w:val="000000"/>
          <w:sz w:val="22"/>
          <w:szCs w:val="22"/>
        </w:rPr>
        <w:t>W</w:t>
      </w:r>
      <w:r w:rsidR="00901F2D" w:rsidRPr="00901F2D">
        <w:rPr>
          <w:rFonts w:cstheme="minorHAnsi"/>
          <w:color w:val="000000"/>
          <w:sz w:val="22"/>
          <w:szCs w:val="22"/>
        </w:rPr>
        <w:t xml:space="preserve">ales </w:t>
      </w:r>
      <w:r w:rsidR="005B4E3F" w:rsidRPr="00901F2D">
        <w:rPr>
          <w:rFonts w:cstheme="minorHAnsi"/>
          <w:color w:val="000000"/>
          <w:sz w:val="22"/>
          <w:szCs w:val="22"/>
        </w:rPr>
        <w:t>C</w:t>
      </w:r>
      <w:r w:rsidR="00901F2D" w:rsidRPr="00901F2D">
        <w:rPr>
          <w:rFonts w:cstheme="minorHAnsi"/>
          <w:color w:val="000000"/>
          <w:sz w:val="22"/>
          <w:szCs w:val="22"/>
        </w:rPr>
        <w:t xml:space="preserve">entre for </w:t>
      </w:r>
      <w:r w:rsidR="005B4E3F" w:rsidRPr="00901F2D">
        <w:rPr>
          <w:rFonts w:cstheme="minorHAnsi"/>
          <w:color w:val="000000"/>
          <w:sz w:val="22"/>
          <w:szCs w:val="22"/>
        </w:rPr>
        <w:t>P</w:t>
      </w:r>
      <w:r w:rsidR="00901F2D" w:rsidRPr="00901F2D">
        <w:rPr>
          <w:rFonts w:cstheme="minorHAnsi"/>
          <w:color w:val="000000"/>
          <w:sz w:val="22"/>
          <w:szCs w:val="22"/>
        </w:rPr>
        <w:t xml:space="preserve">ublic </w:t>
      </w:r>
      <w:r w:rsidR="005B4E3F" w:rsidRPr="00901F2D">
        <w:rPr>
          <w:rFonts w:cstheme="minorHAnsi"/>
          <w:color w:val="000000"/>
          <w:sz w:val="22"/>
          <w:szCs w:val="22"/>
        </w:rPr>
        <w:t>P</w:t>
      </w:r>
      <w:r w:rsidR="00901F2D" w:rsidRPr="00901F2D">
        <w:rPr>
          <w:rFonts w:cstheme="minorHAnsi"/>
          <w:color w:val="000000"/>
          <w:sz w:val="22"/>
          <w:szCs w:val="22"/>
        </w:rPr>
        <w:t>olicy</w:t>
      </w:r>
      <w:r w:rsidR="005B4E3F" w:rsidRPr="00901F2D">
        <w:rPr>
          <w:rFonts w:cstheme="minorHAnsi"/>
          <w:color w:val="000000"/>
          <w:sz w:val="22"/>
          <w:szCs w:val="22"/>
        </w:rPr>
        <w:t xml:space="preserve">, </w:t>
      </w:r>
      <w:r w:rsidRPr="00901F2D">
        <w:rPr>
          <w:rFonts w:cstheme="minorHAnsi"/>
          <w:color w:val="000000"/>
          <w:sz w:val="22"/>
          <w:szCs w:val="22"/>
        </w:rPr>
        <w:t>20</w:t>
      </w:r>
      <w:r w:rsidR="005B4E3F" w:rsidRPr="00901F2D">
        <w:rPr>
          <w:rFonts w:cstheme="minorHAnsi"/>
          <w:color w:val="000000"/>
          <w:sz w:val="22"/>
          <w:szCs w:val="22"/>
        </w:rPr>
        <w:t>2</w:t>
      </w:r>
      <w:r w:rsidRPr="00901F2D">
        <w:rPr>
          <w:rFonts w:cstheme="minorHAnsi"/>
          <w:color w:val="000000"/>
          <w:sz w:val="22"/>
          <w:szCs w:val="22"/>
        </w:rPr>
        <w:t>3)</w:t>
      </w:r>
      <w:r w:rsidRPr="0010083F">
        <w:rPr>
          <w:rFonts w:cstheme="minorHAnsi"/>
          <w:color w:val="000000"/>
          <w:sz w:val="22"/>
          <w:szCs w:val="22"/>
        </w:rPr>
        <w:t xml:space="preserve">.  </w:t>
      </w:r>
      <w:r w:rsidR="0010083F" w:rsidRPr="0010083F">
        <w:rPr>
          <w:rFonts w:cstheme="minorHAnsi"/>
          <w:color w:val="000000"/>
          <w:sz w:val="22"/>
          <w:szCs w:val="22"/>
        </w:rPr>
        <w:t xml:space="preserve">A Welsh Government commissioned report (Walpole et al, 2023) suggested that </w:t>
      </w:r>
      <w:r w:rsidR="005B4E3F">
        <w:rPr>
          <w:rFonts w:cstheme="minorHAnsi"/>
          <w:color w:val="000000"/>
          <w:sz w:val="22"/>
          <w:szCs w:val="22"/>
        </w:rPr>
        <w:t xml:space="preserve">ambiguity around </w:t>
      </w:r>
      <w:r w:rsidR="0010083F" w:rsidRPr="0010083F">
        <w:rPr>
          <w:rFonts w:cstheme="minorHAnsi"/>
          <w:sz w:val="22"/>
          <w:szCs w:val="22"/>
        </w:rPr>
        <w:t xml:space="preserve">recently introduced concepts of </w:t>
      </w:r>
      <w:r w:rsidR="0010083F" w:rsidRPr="0010083F">
        <w:rPr>
          <w:sz w:val="22"/>
          <w:szCs w:val="22"/>
        </w:rPr>
        <w:t xml:space="preserve">the </w:t>
      </w:r>
      <w:hyperlink r:id="rId5">
        <w:r w:rsidR="0010083F" w:rsidRPr="0010083F">
          <w:rPr>
            <w:rStyle w:val="Hyperlink"/>
            <w:color w:val="auto"/>
            <w:sz w:val="22"/>
            <w:szCs w:val="22"/>
            <w:u w:val="none"/>
          </w:rPr>
          <w:t>Well-being of Future Generations (Wales) Act (2015)</w:t>
        </w:r>
      </w:hyperlink>
      <w:r w:rsidR="0010083F" w:rsidRPr="0010083F">
        <w:rPr>
          <w:sz w:val="22"/>
          <w:szCs w:val="22"/>
        </w:rPr>
        <w:t xml:space="preserve"> (WFGA), </w:t>
      </w:r>
      <w:hyperlink r:id="rId6" w:anchor=":~:text=Foundational%20economy%20(FE),housing">
        <w:r w:rsidR="0010083F" w:rsidRPr="0010083F">
          <w:rPr>
            <w:rStyle w:val="Hyperlink"/>
            <w:color w:val="auto"/>
            <w:sz w:val="22"/>
            <w:szCs w:val="22"/>
            <w:u w:val="none"/>
          </w:rPr>
          <w:t>Foundational Economy (FE)</w:t>
        </w:r>
      </w:hyperlink>
      <w:r w:rsidR="0010083F" w:rsidRPr="0010083F">
        <w:rPr>
          <w:sz w:val="22"/>
          <w:szCs w:val="22"/>
        </w:rPr>
        <w:t xml:space="preserve">/Community Wealth Building (CWB), </w:t>
      </w:r>
      <w:hyperlink r:id="rId7">
        <w:r w:rsidR="0010083F" w:rsidRPr="0010083F">
          <w:rPr>
            <w:rStyle w:val="Hyperlink"/>
            <w:color w:val="auto"/>
            <w:sz w:val="22"/>
            <w:szCs w:val="22"/>
            <w:u w:val="none"/>
          </w:rPr>
          <w:t>Circular Economy</w:t>
        </w:r>
      </w:hyperlink>
      <w:r w:rsidR="0010083F" w:rsidRPr="0010083F">
        <w:rPr>
          <w:sz w:val="22"/>
          <w:szCs w:val="22"/>
        </w:rPr>
        <w:t xml:space="preserve"> (CE) and </w:t>
      </w:r>
      <w:hyperlink r:id="rId8">
        <w:r w:rsidR="0010083F" w:rsidRPr="0010083F">
          <w:rPr>
            <w:rStyle w:val="Hyperlink"/>
            <w:color w:val="auto"/>
            <w:sz w:val="22"/>
            <w:szCs w:val="22"/>
            <w:u w:val="none"/>
          </w:rPr>
          <w:t>Social Value</w:t>
        </w:r>
      </w:hyperlink>
      <w:r w:rsidR="0010083F" w:rsidRPr="0010083F">
        <w:rPr>
          <w:rStyle w:val="Hyperlink"/>
          <w:color w:val="auto"/>
          <w:sz w:val="22"/>
          <w:szCs w:val="22"/>
          <w:u w:val="none"/>
        </w:rPr>
        <w:t xml:space="preserve"> </w:t>
      </w:r>
      <w:r w:rsidR="005B4E3F">
        <w:rPr>
          <w:rStyle w:val="Hyperlink"/>
          <w:color w:val="auto"/>
          <w:sz w:val="22"/>
          <w:szCs w:val="22"/>
          <w:u w:val="none"/>
        </w:rPr>
        <w:t>i</w:t>
      </w:r>
      <w:r w:rsidR="0010083F" w:rsidRPr="0010083F">
        <w:rPr>
          <w:rStyle w:val="Hyperlink"/>
          <w:color w:val="auto"/>
          <w:sz w:val="22"/>
          <w:szCs w:val="22"/>
          <w:u w:val="none"/>
        </w:rPr>
        <w:t xml:space="preserve">s </w:t>
      </w:r>
      <w:r w:rsidR="005B4E3F">
        <w:rPr>
          <w:rStyle w:val="Hyperlink"/>
          <w:color w:val="auto"/>
          <w:sz w:val="22"/>
          <w:szCs w:val="22"/>
          <w:u w:val="none"/>
        </w:rPr>
        <w:t>proving to be a</w:t>
      </w:r>
      <w:r w:rsidR="0010083F" w:rsidRPr="0010083F">
        <w:rPr>
          <w:rStyle w:val="Hyperlink"/>
          <w:color w:val="auto"/>
          <w:sz w:val="22"/>
          <w:szCs w:val="22"/>
          <w:u w:val="none"/>
        </w:rPr>
        <w:t xml:space="preserve"> barrier to implementation </w:t>
      </w:r>
      <w:r w:rsidR="0010083F">
        <w:rPr>
          <w:rStyle w:val="Hyperlink"/>
          <w:color w:val="auto"/>
          <w:sz w:val="22"/>
          <w:szCs w:val="22"/>
          <w:u w:val="none"/>
        </w:rPr>
        <w:t>of their principles.</w:t>
      </w:r>
      <w:r w:rsidR="00F37479">
        <w:rPr>
          <w:rStyle w:val="Hyperlink"/>
          <w:color w:val="auto"/>
          <w:sz w:val="22"/>
          <w:szCs w:val="22"/>
          <w:u w:val="none"/>
        </w:rPr>
        <w:t xml:space="preserve">  Based on one of the recommendations of the </w:t>
      </w:r>
      <w:r w:rsidR="00F37479" w:rsidRPr="00D0529A">
        <w:rPr>
          <w:rStyle w:val="Hyperlink"/>
          <w:color w:val="auto"/>
          <w:sz w:val="22"/>
          <w:szCs w:val="22"/>
          <w:u w:val="none"/>
        </w:rPr>
        <w:t>report</w:t>
      </w:r>
      <w:r w:rsidR="00E36DB9" w:rsidRPr="00D0529A">
        <w:rPr>
          <w:rStyle w:val="Hyperlink"/>
          <w:color w:val="auto"/>
          <w:sz w:val="22"/>
          <w:szCs w:val="22"/>
          <w:u w:val="none"/>
        </w:rPr>
        <w:t xml:space="preserve"> by Walpole et al (2023)</w:t>
      </w:r>
      <w:r w:rsidR="0099564F" w:rsidRPr="00D0529A">
        <w:rPr>
          <w:rStyle w:val="Hyperlink"/>
          <w:color w:val="auto"/>
          <w:sz w:val="22"/>
          <w:szCs w:val="22"/>
          <w:u w:val="none"/>
        </w:rPr>
        <w:t>,</w:t>
      </w:r>
      <w:r w:rsidR="00F37479" w:rsidRPr="00D0529A">
        <w:rPr>
          <w:rStyle w:val="Hyperlink"/>
          <w:color w:val="auto"/>
          <w:sz w:val="22"/>
          <w:szCs w:val="22"/>
          <w:u w:val="none"/>
        </w:rPr>
        <w:t xml:space="preserve"> the Welsh</w:t>
      </w:r>
      <w:r w:rsidR="00E36DB9">
        <w:rPr>
          <w:rStyle w:val="Hyperlink"/>
          <w:color w:val="auto"/>
          <w:sz w:val="22"/>
          <w:szCs w:val="22"/>
          <w:u w:val="none"/>
        </w:rPr>
        <w:t xml:space="preserve"> </w:t>
      </w:r>
      <w:r w:rsidR="00F37479">
        <w:rPr>
          <w:rStyle w:val="Hyperlink"/>
          <w:color w:val="auto"/>
          <w:sz w:val="22"/>
          <w:szCs w:val="22"/>
          <w:u w:val="none"/>
        </w:rPr>
        <w:t xml:space="preserve">Government commissioned a series of half day workshops to </w:t>
      </w:r>
      <w:r w:rsidR="0010083F" w:rsidRPr="0099564F">
        <w:rPr>
          <w:rStyle w:val="Hyperlink"/>
          <w:color w:val="auto"/>
          <w:sz w:val="22"/>
          <w:szCs w:val="22"/>
          <w:u w:val="none"/>
        </w:rPr>
        <w:t xml:space="preserve">support practitioners in Wales to develop a clearer conceptual and operational understanding of how existing statutory frameworks and concepts </w:t>
      </w:r>
      <w:r w:rsidR="00F37479" w:rsidRPr="0099564F">
        <w:rPr>
          <w:rStyle w:val="Hyperlink"/>
          <w:color w:val="auto"/>
          <w:sz w:val="22"/>
          <w:szCs w:val="22"/>
          <w:u w:val="none"/>
        </w:rPr>
        <w:t xml:space="preserve">(WFGA, FE/CWB, CE and Social Value) </w:t>
      </w:r>
      <w:r w:rsidR="0010083F" w:rsidRPr="0099564F">
        <w:rPr>
          <w:rStyle w:val="Hyperlink"/>
          <w:color w:val="auto"/>
          <w:sz w:val="22"/>
          <w:szCs w:val="22"/>
          <w:u w:val="none"/>
        </w:rPr>
        <w:t>can be incorporated within their processes, and practices. The workshop</w:t>
      </w:r>
      <w:r w:rsidR="00F37479" w:rsidRPr="0099564F">
        <w:rPr>
          <w:rStyle w:val="Hyperlink"/>
          <w:color w:val="auto"/>
          <w:sz w:val="22"/>
          <w:szCs w:val="22"/>
          <w:u w:val="none"/>
        </w:rPr>
        <w:t xml:space="preserve">s were designed and delivered within an action research </w:t>
      </w:r>
      <w:r w:rsidR="00A63DAC">
        <w:rPr>
          <w:rStyle w:val="Hyperlink"/>
          <w:color w:val="auto"/>
          <w:sz w:val="22"/>
          <w:szCs w:val="22"/>
          <w:u w:val="none"/>
        </w:rPr>
        <w:t>methodology</w:t>
      </w:r>
      <w:r w:rsidR="00F37479" w:rsidRPr="0099564F">
        <w:rPr>
          <w:rStyle w:val="Hyperlink"/>
          <w:color w:val="auto"/>
          <w:sz w:val="22"/>
          <w:szCs w:val="22"/>
          <w:u w:val="none"/>
        </w:rPr>
        <w:t xml:space="preserve"> by academics at Cardiff Metropolitan University</w:t>
      </w:r>
      <w:r w:rsidR="0010083F" w:rsidRPr="0099564F">
        <w:rPr>
          <w:rStyle w:val="Hyperlink"/>
          <w:color w:val="auto"/>
          <w:sz w:val="22"/>
          <w:szCs w:val="22"/>
          <w:u w:val="none"/>
        </w:rPr>
        <w:t xml:space="preserve">, informed by social learning </w:t>
      </w:r>
      <w:r w:rsidR="00F37479" w:rsidRPr="0099564F">
        <w:rPr>
          <w:rStyle w:val="Hyperlink"/>
          <w:color w:val="auto"/>
          <w:sz w:val="22"/>
          <w:szCs w:val="22"/>
          <w:u w:val="none"/>
        </w:rPr>
        <w:t xml:space="preserve">spaces </w:t>
      </w:r>
      <w:r w:rsidR="0010083F" w:rsidRPr="0099564F">
        <w:rPr>
          <w:rStyle w:val="Hyperlink"/>
          <w:color w:val="auto"/>
          <w:sz w:val="22"/>
          <w:szCs w:val="22"/>
          <w:u w:val="none"/>
        </w:rPr>
        <w:t xml:space="preserve">theory, to achieve this aim. The workshops were designed to enable practitioners to engage with the </w:t>
      </w:r>
      <w:r w:rsidR="00A63DAC">
        <w:rPr>
          <w:rStyle w:val="Hyperlink"/>
          <w:color w:val="auto"/>
          <w:sz w:val="22"/>
          <w:szCs w:val="22"/>
          <w:u w:val="none"/>
        </w:rPr>
        <w:t xml:space="preserve">concepts </w:t>
      </w:r>
      <w:r w:rsidR="0010083F" w:rsidRPr="0099564F">
        <w:rPr>
          <w:rStyle w:val="Hyperlink"/>
          <w:color w:val="auto"/>
          <w:sz w:val="22"/>
          <w:szCs w:val="22"/>
          <w:u w:val="none"/>
        </w:rPr>
        <w:t xml:space="preserve">and reflect on examples of implementation of the concepts with peers to </w:t>
      </w:r>
      <w:proofErr w:type="spellStart"/>
      <w:r w:rsidR="0010083F" w:rsidRPr="0099564F">
        <w:rPr>
          <w:rStyle w:val="Hyperlink"/>
          <w:color w:val="auto"/>
          <w:sz w:val="22"/>
          <w:szCs w:val="22"/>
          <w:u w:val="none"/>
        </w:rPr>
        <w:t>sensemake</w:t>
      </w:r>
      <w:proofErr w:type="spellEnd"/>
      <w:r w:rsidR="00F37479" w:rsidRPr="0099564F">
        <w:rPr>
          <w:rStyle w:val="Hyperlink"/>
          <w:color w:val="auto"/>
          <w:sz w:val="22"/>
          <w:szCs w:val="22"/>
          <w:u w:val="none"/>
        </w:rPr>
        <w:t xml:space="preserve"> (Weick,</w:t>
      </w:r>
      <w:r w:rsidR="00222314" w:rsidRPr="0099564F">
        <w:rPr>
          <w:rStyle w:val="Hyperlink"/>
          <w:color w:val="auto"/>
          <w:sz w:val="22"/>
          <w:szCs w:val="22"/>
          <w:u w:val="none"/>
        </w:rPr>
        <w:t xml:space="preserve"> 1995</w:t>
      </w:r>
      <w:r w:rsidR="00F37479" w:rsidRPr="0099564F">
        <w:rPr>
          <w:rStyle w:val="Hyperlink"/>
          <w:color w:val="auto"/>
          <w:sz w:val="22"/>
          <w:szCs w:val="22"/>
          <w:u w:val="none"/>
        </w:rPr>
        <w:t xml:space="preserve">) </w:t>
      </w:r>
      <w:r w:rsidR="0010083F" w:rsidRPr="0099564F">
        <w:rPr>
          <w:rStyle w:val="Hyperlink"/>
          <w:color w:val="auto"/>
          <w:sz w:val="22"/>
          <w:szCs w:val="22"/>
          <w:u w:val="none"/>
        </w:rPr>
        <w:t xml:space="preserve">through a shared </w:t>
      </w:r>
      <w:r w:rsidR="005B4E3F">
        <w:rPr>
          <w:rStyle w:val="Hyperlink"/>
          <w:color w:val="auto"/>
          <w:sz w:val="22"/>
          <w:szCs w:val="22"/>
          <w:u w:val="none"/>
        </w:rPr>
        <w:t xml:space="preserve">learning </w:t>
      </w:r>
      <w:r w:rsidR="0010083F" w:rsidRPr="0099564F">
        <w:rPr>
          <w:rStyle w:val="Hyperlink"/>
          <w:color w:val="auto"/>
          <w:sz w:val="22"/>
          <w:szCs w:val="22"/>
          <w:u w:val="none"/>
        </w:rPr>
        <w:t>process</w:t>
      </w:r>
      <w:r w:rsidR="005B4E3F">
        <w:rPr>
          <w:rStyle w:val="Hyperlink"/>
          <w:color w:val="auto"/>
          <w:sz w:val="22"/>
          <w:szCs w:val="22"/>
          <w:u w:val="none"/>
        </w:rPr>
        <w:t>, based on the SECI model (Nonaka &amp; Takeuchi, 1995)</w:t>
      </w:r>
      <w:r w:rsidR="0010083F" w:rsidRPr="0099564F">
        <w:rPr>
          <w:rStyle w:val="Hyperlink"/>
          <w:color w:val="auto"/>
          <w:sz w:val="22"/>
          <w:szCs w:val="22"/>
          <w:u w:val="none"/>
        </w:rPr>
        <w:t xml:space="preserve">. </w:t>
      </w:r>
    </w:p>
    <w:p w14:paraId="410E4558" w14:textId="77777777" w:rsidR="005C6A6F" w:rsidRDefault="005C6A6F" w:rsidP="00F37479">
      <w:pPr>
        <w:spacing w:line="360" w:lineRule="auto"/>
        <w:jc w:val="both"/>
      </w:pPr>
    </w:p>
    <w:p w14:paraId="77EB0DFD" w14:textId="68FDDBA0" w:rsidR="005C6A6F" w:rsidRPr="005B4E3F" w:rsidRDefault="005C6A6F" w:rsidP="005B4E3F">
      <w:pPr>
        <w:spacing w:line="360" w:lineRule="auto"/>
        <w:rPr>
          <w:rFonts w:cstheme="minorHAnsi"/>
          <w:sz w:val="22"/>
          <w:szCs w:val="22"/>
        </w:rPr>
      </w:pPr>
      <w:r w:rsidRPr="004219EB">
        <w:rPr>
          <w:rFonts w:cstheme="minorHAnsi"/>
          <w:sz w:val="22"/>
          <w:szCs w:val="22"/>
        </w:rPr>
        <w:t xml:space="preserve">Contemporary learning interventions with participative pedagogies aim to support participative approaches to learning as proposed </w:t>
      </w:r>
      <w:r w:rsidRPr="00047E33">
        <w:rPr>
          <w:rFonts w:cstheme="minorHAnsi"/>
          <w:sz w:val="22"/>
          <w:szCs w:val="22"/>
        </w:rPr>
        <w:t>by Hodgson and Reynolds (20</w:t>
      </w:r>
      <w:r w:rsidR="000B551F" w:rsidRPr="00047E33">
        <w:rPr>
          <w:rFonts w:cstheme="minorHAnsi"/>
          <w:sz w:val="22"/>
          <w:szCs w:val="22"/>
        </w:rPr>
        <w:t>10</w:t>
      </w:r>
      <w:r w:rsidRPr="00047E33">
        <w:rPr>
          <w:rFonts w:cstheme="minorHAnsi"/>
          <w:sz w:val="22"/>
          <w:szCs w:val="22"/>
        </w:rPr>
        <w:t>) whereby the learner co-constructs the ‘curriculum’ and learning to enable a greater impact on the challenge they face within the workplace. Such a collaborative and participative approach to learning relies on the dialogical creation of meaning and construction of knowledge (Hodgson and Watland, 2004).  Transformative learning seeks to stimulate a learner’s questioning of underlying assumptions and to restructure the way the learner sees the world and acts within it (Laros</w:t>
      </w:r>
      <w:r w:rsidR="00A12F1F" w:rsidRPr="00047E33">
        <w:rPr>
          <w:rFonts w:cstheme="minorHAnsi"/>
          <w:sz w:val="22"/>
          <w:szCs w:val="22"/>
        </w:rPr>
        <w:t xml:space="preserve"> et al.</w:t>
      </w:r>
      <w:r w:rsidRPr="00047E33">
        <w:rPr>
          <w:rFonts w:cstheme="minorHAnsi"/>
          <w:sz w:val="22"/>
          <w:szCs w:val="22"/>
        </w:rPr>
        <w:t>, 2017).</w:t>
      </w:r>
      <w:r w:rsidRPr="004219EB">
        <w:rPr>
          <w:rFonts w:cstheme="minorHAnsi"/>
          <w:sz w:val="22"/>
          <w:szCs w:val="22"/>
        </w:rPr>
        <w:t> </w:t>
      </w:r>
    </w:p>
    <w:p w14:paraId="1CEFF2DA" w14:textId="347A4A93" w:rsidR="00F2169B" w:rsidRPr="00F2169B" w:rsidRDefault="00F2169B" w:rsidP="00F2169B">
      <w:pPr>
        <w:pStyle w:val="xparagraph"/>
        <w:spacing w:after="0" w:afterAutospacing="0" w:line="360" w:lineRule="auto"/>
        <w:jc w:val="both"/>
        <w:textAlignment w:val="baseline"/>
        <w:rPr>
          <w:rStyle w:val="xnormaltextrun"/>
          <w:rFonts w:asciiTheme="minorHAnsi" w:hAnsiTheme="minorHAnsi" w:cstheme="minorHAnsi"/>
          <w:b/>
          <w:bCs/>
          <w:sz w:val="22"/>
          <w:szCs w:val="22"/>
        </w:rPr>
      </w:pPr>
      <w:r w:rsidRPr="00F2169B">
        <w:rPr>
          <w:rStyle w:val="xnormaltextrun"/>
          <w:rFonts w:asciiTheme="minorHAnsi" w:hAnsiTheme="minorHAnsi" w:cstheme="minorHAnsi"/>
          <w:b/>
          <w:bCs/>
          <w:sz w:val="22"/>
          <w:szCs w:val="22"/>
        </w:rPr>
        <w:t>Methodology</w:t>
      </w:r>
    </w:p>
    <w:p w14:paraId="0292C353" w14:textId="6183BDCD" w:rsidR="00F2169B" w:rsidRPr="00C10DAF" w:rsidRDefault="00F2169B" w:rsidP="005C6A6F">
      <w:pPr>
        <w:pStyle w:val="xparagraph"/>
        <w:spacing w:after="0" w:afterAutospacing="0" w:line="360" w:lineRule="auto"/>
        <w:jc w:val="both"/>
        <w:textAlignment w:val="baseline"/>
        <w:rPr>
          <w:rFonts w:asciiTheme="minorHAnsi" w:hAnsiTheme="minorHAnsi" w:cstheme="minorHAnsi"/>
          <w:sz w:val="22"/>
          <w:szCs w:val="22"/>
        </w:rPr>
      </w:pPr>
      <w:r w:rsidRPr="00C10DAF">
        <w:rPr>
          <w:rFonts w:asciiTheme="minorHAnsi" w:eastAsia="Calibri" w:hAnsiTheme="minorHAnsi" w:cstheme="minorHAnsi"/>
          <w:sz w:val="22"/>
          <w:szCs w:val="22"/>
        </w:rPr>
        <w:t xml:space="preserve">To address the aim of the </w:t>
      </w:r>
      <w:r w:rsidR="005C6A6F" w:rsidRPr="00C10DAF">
        <w:rPr>
          <w:rFonts w:asciiTheme="minorHAnsi" w:eastAsia="Calibri" w:hAnsiTheme="minorHAnsi" w:cstheme="minorHAnsi"/>
          <w:sz w:val="22"/>
          <w:szCs w:val="22"/>
        </w:rPr>
        <w:t>research</w:t>
      </w:r>
      <w:r w:rsidRPr="00C10DAF">
        <w:rPr>
          <w:rFonts w:asciiTheme="minorHAnsi" w:eastAsia="Calibri" w:hAnsiTheme="minorHAnsi" w:cstheme="minorHAnsi"/>
          <w:sz w:val="22"/>
          <w:szCs w:val="22"/>
        </w:rPr>
        <w:t>, a multi-stage methodology was developed, as outlined in Figure 1</w:t>
      </w:r>
      <w:r w:rsidR="005C6A6F" w:rsidRPr="00C10DAF">
        <w:rPr>
          <w:rFonts w:asciiTheme="minorHAnsi" w:eastAsia="Calibri" w:hAnsiTheme="minorHAnsi" w:cstheme="minorHAnsi"/>
          <w:sz w:val="22"/>
          <w:szCs w:val="22"/>
        </w:rPr>
        <w:t xml:space="preserve">.  An </w:t>
      </w:r>
      <w:r w:rsidR="005C6A6F" w:rsidRPr="00F96266">
        <w:rPr>
          <w:rFonts w:asciiTheme="minorHAnsi" w:eastAsia="Calibri" w:hAnsiTheme="minorHAnsi" w:cstheme="minorHAnsi"/>
          <w:sz w:val="22"/>
          <w:szCs w:val="22"/>
        </w:rPr>
        <w:t xml:space="preserve">action research approach </w:t>
      </w:r>
      <w:r w:rsidR="00F96266" w:rsidRPr="00F96266">
        <w:rPr>
          <w:rFonts w:asciiTheme="minorHAnsi" w:eastAsia="Calibri" w:hAnsiTheme="minorHAnsi" w:cstheme="minorHAnsi"/>
          <w:sz w:val="22"/>
          <w:szCs w:val="22"/>
        </w:rPr>
        <w:t xml:space="preserve">(Carr and Kemmis, 2003) </w:t>
      </w:r>
      <w:r w:rsidR="005C6A6F" w:rsidRPr="00F96266">
        <w:rPr>
          <w:rFonts w:asciiTheme="minorHAnsi" w:eastAsia="Calibri" w:hAnsiTheme="minorHAnsi" w:cstheme="minorHAnsi"/>
          <w:sz w:val="22"/>
          <w:szCs w:val="22"/>
        </w:rPr>
        <w:t>w</w:t>
      </w:r>
      <w:r w:rsidR="005C6A6F" w:rsidRPr="00C10DAF">
        <w:rPr>
          <w:rFonts w:asciiTheme="minorHAnsi" w:eastAsia="Calibri" w:hAnsiTheme="minorHAnsi" w:cstheme="minorHAnsi"/>
          <w:sz w:val="22"/>
          <w:szCs w:val="22"/>
        </w:rPr>
        <w:t xml:space="preserve">as </w:t>
      </w:r>
      <w:r w:rsidR="000269C1" w:rsidRPr="00C10DAF">
        <w:rPr>
          <w:rFonts w:asciiTheme="minorHAnsi" w:eastAsia="Calibri" w:hAnsiTheme="minorHAnsi" w:cstheme="minorHAnsi"/>
          <w:sz w:val="22"/>
          <w:szCs w:val="22"/>
        </w:rPr>
        <w:t>adopted,</w:t>
      </w:r>
      <w:r w:rsidR="005C6A6F" w:rsidRPr="00C10DAF">
        <w:rPr>
          <w:rFonts w:asciiTheme="minorHAnsi" w:eastAsia="Calibri" w:hAnsiTheme="minorHAnsi" w:cstheme="minorHAnsi"/>
          <w:sz w:val="22"/>
          <w:szCs w:val="22"/>
        </w:rPr>
        <w:t xml:space="preserve"> </w:t>
      </w:r>
      <w:r w:rsidRPr="00C10DAF">
        <w:rPr>
          <w:rFonts w:asciiTheme="minorHAnsi" w:eastAsia="Calibri" w:hAnsiTheme="minorHAnsi" w:cstheme="minorHAnsi"/>
          <w:sz w:val="22"/>
          <w:szCs w:val="22"/>
        </w:rPr>
        <w:t>and the data analysed with</w:t>
      </w:r>
      <w:r w:rsidR="00F96266">
        <w:rPr>
          <w:rFonts w:asciiTheme="minorHAnsi" w:eastAsia="Calibri" w:hAnsiTheme="minorHAnsi" w:cstheme="minorHAnsi"/>
          <w:sz w:val="22"/>
          <w:szCs w:val="22"/>
        </w:rPr>
        <w:t>in</w:t>
      </w:r>
      <w:r w:rsidRPr="00C10DAF">
        <w:rPr>
          <w:rFonts w:asciiTheme="minorHAnsi" w:eastAsia="Calibri" w:hAnsiTheme="minorHAnsi" w:cstheme="minorHAnsi"/>
          <w:sz w:val="22"/>
          <w:szCs w:val="22"/>
        </w:rPr>
        <w:t xml:space="preserve"> the theoretical framework of Interpretative Phenomenological Analysis (IPA). </w:t>
      </w:r>
      <w:r w:rsidRPr="00C10DAF">
        <w:rPr>
          <w:rFonts w:asciiTheme="minorHAnsi" w:eastAsia="Arial" w:hAnsiTheme="minorHAnsi" w:cstheme="minorHAnsi"/>
          <w:color w:val="000000" w:themeColor="text1"/>
          <w:sz w:val="22"/>
          <w:szCs w:val="22"/>
        </w:rPr>
        <w:t xml:space="preserve">The survey data was </w:t>
      </w:r>
      <w:r w:rsidRPr="00F96266">
        <w:rPr>
          <w:rFonts w:asciiTheme="minorHAnsi" w:eastAsia="Arial" w:hAnsiTheme="minorHAnsi" w:cstheme="minorHAnsi"/>
          <w:color w:val="000000" w:themeColor="text1"/>
          <w:sz w:val="22"/>
          <w:szCs w:val="22"/>
        </w:rPr>
        <w:t xml:space="preserve">anonymised and is presented as summary data </w:t>
      </w:r>
      <w:r w:rsidR="005C6A6F" w:rsidRPr="00F96266">
        <w:rPr>
          <w:rFonts w:asciiTheme="minorHAnsi" w:eastAsia="Arial" w:hAnsiTheme="minorHAnsi" w:cstheme="minorHAnsi"/>
          <w:color w:val="000000" w:themeColor="text1"/>
          <w:sz w:val="22"/>
          <w:szCs w:val="22"/>
        </w:rPr>
        <w:t xml:space="preserve">below. </w:t>
      </w:r>
      <w:r w:rsidRPr="00F96266">
        <w:rPr>
          <w:rFonts w:asciiTheme="minorHAnsi" w:eastAsia="Arial" w:hAnsiTheme="minorHAnsi" w:cstheme="minorHAnsi"/>
          <w:color w:val="000000" w:themeColor="text1"/>
          <w:sz w:val="22"/>
          <w:szCs w:val="22"/>
        </w:rPr>
        <w:t xml:space="preserve"> The </w:t>
      </w:r>
      <w:r w:rsidR="005C6A6F" w:rsidRPr="00F96266">
        <w:rPr>
          <w:rFonts w:asciiTheme="minorHAnsi" w:eastAsia="Arial" w:hAnsiTheme="minorHAnsi" w:cstheme="minorHAnsi"/>
          <w:color w:val="000000" w:themeColor="text1"/>
          <w:sz w:val="22"/>
          <w:szCs w:val="22"/>
        </w:rPr>
        <w:t xml:space="preserve">qualitative data was thematically analysed and is presented in data tables below with explanatory commentary.  The data is </w:t>
      </w:r>
      <w:r w:rsidR="00F96266" w:rsidRPr="00F96266">
        <w:rPr>
          <w:rFonts w:asciiTheme="minorHAnsi" w:eastAsia="Arial" w:hAnsiTheme="minorHAnsi" w:cstheme="minorHAnsi"/>
          <w:color w:val="000000" w:themeColor="text1"/>
          <w:sz w:val="22"/>
          <w:szCs w:val="22"/>
        </w:rPr>
        <w:t>augmen</w:t>
      </w:r>
      <w:r w:rsidR="005C6A6F" w:rsidRPr="00F96266">
        <w:rPr>
          <w:rFonts w:asciiTheme="minorHAnsi" w:eastAsia="Arial" w:hAnsiTheme="minorHAnsi" w:cstheme="minorHAnsi"/>
          <w:color w:val="000000" w:themeColor="text1"/>
          <w:sz w:val="22"/>
          <w:szCs w:val="22"/>
        </w:rPr>
        <w:t xml:space="preserve">ted with </w:t>
      </w:r>
      <w:r w:rsidR="007A0C53" w:rsidRPr="00F96266">
        <w:rPr>
          <w:rFonts w:asciiTheme="minorHAnsi" w:eastAsia="Arial" w:hAnsiTheme="minorHAnsi" w:cstheme="minorHAnsi"/>
          <w:color w:val="000000" w:themeColor="text1"/>
          <w:sz w:val="22"/>
          <w:szCs w:val="22"/>
        </w:rPr>
        <w:t>four</w:t>
      </w:r>
      <w:r w:rsidR="005C6A6F" w:rsidRPr="00F96266">
        <w:rPr>
          <w:rFonts w:asciiTheme="minorHAnsi" w:eastAsia="Arial" w:hAnsiTheme="minorHAnsi" w:cstheme="minorHAnsi"/>
          <w:color w:val="000000" w:themeColor="text1"/>
          <w:sz w:val="22"/>
          <w:szCs w:val="22"/>
        </w:rPr>
        <w:t xml:space="preserve"> </w:t>
      </w:r>
      <w:r w:rsidR="00F96266" w:rsidRPr="00F96266">
        <w:rPr>
          <w:rFonts w:asciiTheme="minorHAnsi" w:eastAsia="Arial" w:hAnsiTheme="minorHAnsi" w:cstheme="minorHAnsi"/>
          <w:color w:val="000000" w:themeColor="text1"/>
          <w:sz w:val="22"/>
          <w:szCs w:val="22"/>
        </w:rPr>
        <w:t xml:space="preserve">semi-structured </w:t>
      </w:r>
      <w:r w:rsidRPr="00F96266">
        <w:rPr>
          <w:rFonts w:asciiTheme="minorHAnsi" w:eastAsia="Arial" w:hAnsiTheme="minorHAnsi" w:cstheme="minorHAnsi"/>
          <w:color w:val="000000" w:themeColor="text1"/>
          <w:sz w:val="22"/>
          <w:szCs w:val="22"/>
        </w:rPr>
        <w:t>video interview</w:t>
      </w:r>
      <w:r w:rsidR="005C6A6F" w:rsidRPr="00F96266">
        <w:rPr>
          <w:rFonts w:asciiTheme="minorHAnsi" w:eastAsia="Arial" w:hAnsiTheme="minorHAnsi" w:cstheme="minorHAnsi"/>
          <w:color w:val="000000" w:themeColor="text1"/>
          <w:sz w:val="22"/>
          <w:szCs w:val="22"/>
        </w:rPr>
        <w:t xml:space="preserve">s with participants. </w:t>
      </w:r>
      <w:r w:rsidR="00F96266" w:rsidRPr="00F96266">
        <w:rPr>
          <w:rFonts w:asciiTheme="minorHAnsi" w:eastAsia="Arial" w:hAnsiTheme="minorHAnsi" w:cstheme="minorHAnsi"/>
          <w:color w:val="000000" w:themeColor="text1"/>
          <w:sz w:val="22"/>
          <w:szCs w:val="22"/>
        </w:rPr>
        <w:t>Ethical approval was obtained for the study.</w:t>
      </w:r>
      <w:r w:rsidR="00F96266" w:rsidRPr="00C10DAF">
        <w:rPr>
          <w:rFonts w:asciiTheme="minorHAnsi" w:eastAsia="Arial" w:hAnsiTheme="minorHAnsi" w:cstheme="minorHAnsi"/>
          <w:color w:val="000000" w:themeColor="text1"/>
          <w:sz w:val="22"/>
          <w:szCs w:val="22"/>
        </w:rPr>
        <w:t xml:space="preserve">  </w:t>
      </w:r>
    </w:p>
    <w:p w14:paraId="4CEAC2AA" w14:textId="6A422FA7" w:rsidR="00042BE7" w:rsidRDefault="002F61BA" w:rsidP="00F37479">
      <w:pPr>
        <w:pStyle w:val="xparagraph"/>
        <w:spacing w:after="0" w:afterAutospacing="0" w:line="360" w:lineRule="auto"/>
        <w:jc w:val="both"/>
        <w:textAlignment w:val="baseline"/>
        <w:rPr>
          <w:rStyle w:val="xnormaltextrun"/>
          <w:rFonts w:asciiTheme="minorHAnsi" w:hAnsiTheme="minorHAnsi" w:cstheme="minorHAnsi"/>
          <w:i/>
          <w:iCs/>
          <w:sz w:val="22"/>
          <w:szCs w:val="22"/>
        </w:rPr>
      </w:pPr>
      <w:r w:rsidRPr="002F61BA">
        <w:rPr>
          <w:rStyle w:val="xnormaltextrun"/>
          <w:rFonts w:asciiTheme="minorHAnsi" w:hAnsiTheme="minorHAnsi" w:cstheme="minorHAnsi"/>
          <w:i/>
          <w:iCs/>
          <w:sz w:val="22"/>
          <w:szCs w:val="22"/>
        </w:rPr>
        <w:lastRenderedPageBreak/>
        <w:t>Figure 1: Research Design</w:t>
      </w:r>
    </w:p>
    <w:p w14:paraId="646F0933" w14:textId="29CFC76E" w:rsidR="002F61BA" w:rsidRPr="002F61BA" w:rsidRDefault="000D4645" w:rsidP="00F37479">
      <w:pPr>
        <w:pStyle w:val="xparagraph"/>
        <w:spacing w:after="0" w:afterAutospacing="0" w:line="360" w:lineRule="auto"/>
        <w:jc w:val="both"/>
        <w:textAlignment w:val="baseline"/>
        <w:rPr>
          <w:rStyle w:val="xnormaltextrun"/>
          <w:rFonts w:asciiTheme="minorHAnsi" w:hAnsiTheme="minorHAnsi" w:cstheme="minorHAnsi"/>
          <w:i/>
          <w:iCs/>
          <w:sz w:val="22"/>
          <w:szCs w:val="22"/>
        </w:rPr>
      </w:pPr>
      <w:r>
        <w:rPr>
          <w:rFonts w:asciiTheme="minorHAnsi" w:hAnsiTheme="minorHAnsi" w:cstheme="minorHAnsi"/>
          <w:i/>
          <w:iCs/>
          <w:noProof/>
          <w:sz w:val="22"/>
          <w:szCs w:val="22"/>
          <w14:ligatures w14:val="standardContextual"/>
        </w:rPr>
        <w:drawing>
          <wp:inline distT="0" distB="0" distL="0" distR="0" wp14:anchorId="23228767" wp14:editId="4F8F8ED3">
            <wp:extent cx="5731510" cy="1671955"/>
            <wp:effectExtent l="0" t="0" r="0" b="4445"/>
            <wp:docPr id="1018188884" name="Picture 1" descr="A diagram of a survey dat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188884" name="Picture 1" descr="A diagram of a survey data&#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1671955"/>
                    </a:xfrm>
                    <a:prstGeom prst="rect">
                      <a:avLst/>
                    </a:prstGeom>
                  </pic:spPr>
                </pic:pic>
              </a:graphicData>
            </a:graphic>
          </wp:inline>
        </w:drawing>
      </w:r>
    </w:p>
    <w:p w14:paraId="4003FCE4" w14:textId="4574B3D0" w:rsidR="00327A18" w:rsidRDefault="00EF248E" w:rsidP="00F37479">
      <w:pPr>
        <w:pStyle w:val="xparagraph"/>
        <w:spacing w:after="0" w:afterAutospacing="0" w:line="360" w:lineRule="auto"/>
        <w:jc w:val="both"/>
        <w:textAlignment w:val="baseline"/>
        <w:rPr>
          <w:rStyle w:val="xnormaltextrun"/>
          <w:rFonts w:asciiTheme="minorHAnsi" w:hAnsiTheme="minorHAnsi" w:cstheme="minorHAnsi"/>
          <w:b/>
          <w:bCs/>
          <w:sz w:val="22"/>
          <w:szCs w:val="22"/>
        </w:rPr>
      </w:pPr>
      <w:r>
        <w:rPr>
          <w:rStyle w:val="xnormaltextrun"/>
          <w:rFonts w:asciiTheme="minorHAnsi" w:hAnsiTheme="minorHAnsi" w:cstheme="minorHAnsi"/>
          <w:b/>
          <w:bCs/>
          <w:sz w:val="22"/>
          <w:szCs w:val="22"/>
        </w:rPr>
        <w:t>Findings</w:t>
      </w:r>
    </w:p>
    <w:p w14:paraId="526874A3" w14:textId="75624B67" w:rsidR="00EC43C5" w:rsidRDefault="00EC43C5" w:rsidP="00F37479">
      <w:pPr>
        <w:pStyle w:val="xparagraph"/>
        <w:spacing w:after="0" w:afterAutospacing="0" w:line="360" w:lineRule="auto"/>
        <w:jc w:val="both"/>
        <w:textAlignment w:val="baseline"/>
        <w:rPr>
          <w:rStyle w:val="xnormaltextrun"/>
          <w:rFonts w:asciiTheme="minorHAnsi" w:hAnsiTheme="minorHAnsi" w:cstheme="minorHAnsi"/>
          <w:b/>
          <w:bCs/>
          <w:sz w:val="22"/>
          <w:szCs w:val="22"/>
        </w:rPr>
      </w:pPr>
      <w:r w:rsidRPr="00F96266">
        <w:rPr>
          <w:rStyle w:val="xnormaltextrun"/>
          <w:rFonts w:asciiTheme="minorHAnsi" w:hAnsiTheme="minorHAnsi" w:cstheme="minorHAnsi"/>
          <w:i/>
          <w:iCs/>
          <w:sz w:val="22"/>
          <w:szCs w:val="22"/>
        </w:rPr>
        <w:t>Quantitative data</w:t>
      </w:r>
    </w:p>
    <w:p w14:paraId="5F23BA3D" w14:textId="689F294F" w:rsidR="00EC43C5" w:rsidRPr="00EC43C5" w:rsidRDefault="00EC43C5" w:rsidP="00EC43C5">
      <w:pPr>
        <w:spacing w:line="360" w:lineRule="auto"/>
        <w:jc w:val="both"/>
        <w:rPr>
          <w:rStyle w:val="xnormaltextrun"/>
          <w:sz w:val="22"/>
          <w:szCs w:val="22"/>
        </w:rPr>
      </w:pPr>
      <w:r w:rsidRPr="005D6861">
        <w:rPr>
          <w:sz w:val="22"/>
          <w:szCs w:val="22"/>
        </w:rPr>
        <w:t xml:space="preserve">The workshop participants completed a pre-workshop survey to benchmark their existing understanding of the concepts. The survey consisted of three questions to gauge participants’ initial understanding of the concepts Foundational Economy/Community Wealth Building, Circular Economy and Social Value as well as their understanding of the implementation of the seven well-being goals of the Well-Being of Future Generations Act within their existing organisational processes and practices. The pre-workshop survey was completed by </w:t>
      </w:r>
      <w:r w:rsidRPr="005D6861">
        <w:rPr>
          <w:b/>
          <w:bCs/>
          <w:sz w:val="22"/>
          <w:szCs w:val="22"/>
        </w:rPr>
        <w:t>79%</w:t>
      </w:r>
      <w:r w:rsidRPr="005D6861">
        <w:rPr>
          <w:sz w:val="22"/>
          <w:szCs w:val="22"/>
        </w:rPr>
        <w:t xml:space="preserve"> of participants. </w:t>
      </w:r>
      <w:r>
        <w:rPr>
          <w:sz w:val="22"/>
          <w:szCs w:val="22"/>
        </w:rPr>
        <w:t>Participants were asked</w:t>
      </w:r>
      <w:r w:rsidRPr="005D6861">
        <w:rPr>
          <w:sz w:val="22"/>
          <w:szCs w:val="22"/>
        </w:rPr>
        <w:t xml:space="preserve"> to complete a post-workshop survey to </w:t>
      </w:r>
      <w:r w:rsidR="00A63DAC">
        <w:rPr>
          <w:sz w:val="22"/>
          <w:szCs w:val="22"/>
        </w:rPr>
        <w:t xml:space="preserve">gauge </w:t>
      </w:r>
      <w:r w:rsidRPr="005D6861">
        <w:rPr>
          <w:sz w:val="22"/>
          <w:szCs w:val="22"/>
        </w:rPr>
        <w:t>the extent to which their understanding of the concepts had increased</w:t>
      </w:r>
      <w:r>
        <w:rPr>
          <w:sz w:val="22"/>
          <w:szCs w:val="22"/>
        </w:rPr>
        <w:t xml:space="preserve"> and to obtain feedback</w:t>
      </w:r>
      <w:r w:rsidRPr="005D6861">
        <w:rPr>
          <w:sz w:val="22"/>
          <w:szCs w:val="22"/>
        </w:rPr>
        <w:t xml:space="preserve"> on the </w:t>
      </w:r>
      <w:r>
        <w:rPr>
          <w:sz w:val="22"/>
          <w:szCs w:val="22"/>
        </w:rPr>
        <w:t xml:space="preserve">efficacy of the </w:t>
      </w:r>
      <w:r w:rsidRPr="005D6861">
        <w:rPr>
          <w:sz w:val="22"/>
          <w:szCs w:val="22"/>
        </w:rPr>
        <w:t xml:space="preserve">workshop and the </w:t>
      </w:r>
      <w:r>
        <w:rPr>
          <w:sz w:val="22"/>
          <w:szCs w:val="22"/>
        </w:rPr>
        <w:t xml:space="preserve">social learning </w:t>
      </w:r>
      <w:r w:rsidRPr="005D6861">
        <w:rPr>
          <w:sz w:val="22"/>
          <w:szCs w:val="22"/>
        </w:rPr>
        <w:t xml:space="preserve">approach employed. </w:t>
      </w:r>
    </w:p>
    <w:p w14:paraId="42434A35" w14:textId="001B1B1B" w:rsidR="00EF248E" w:rsidRPr="00F96266" w:rsidRDefault="00F96266" w:rsidP="00F37479">
      <w:pPr>
        <w:pStyle w:val="xparagraph"/>
        <w:spacing w:after="0" w:afterAutospacing="0" w:line="360" w:lineRule="auto"/>
        <w:jc w:val="both"/>
        <w:textAlignment w:val="baseline"/>
        <w:rPr>
          <w:rStyle w:val="xnormaltextrun"/>
          <w:rFonts w:asciiTheme="minorHAnsi" w:hAnsiTheme="minorHAnsi" w:cstheme="minorHAnsi"/>
          <w:i/>
          <w:iCs/>
          <w:sz w:val="22"/>
          <w:szCs w:val="22"/>
        </w:rPr>
      </w:pPr>
      <w:r>
        <w:rPr>
          <w:rStyle w:val="xnormaltextrun"/>
          <w:rFonts w:asciiTheme="minorHAnsi" w:hAnsiTheme="minorHAnsi" w:cstheme="minorHAnsi"/>
          <w:i/>
          <w:iCs/>
          <w:sz w:val="22"/>
          <w:szCs w:val="22"/>
        </w:rPr>
        <w:t xml:space="preserve">Table 1: </w:t>
      </w:r>
      <w:r w:rsidR="00EF248E" w:rsidRPr="00F96266">
        <w:rPr>
          <w:rStyle w:val="xnormaltextrun"/>
          <w:rFonts w:asciiTheme="minorHAnsi" w:hAnsiTheme="minorHAnsi" w:cstheme="minorHAnsi"/>
          <w:i/>
          <w:iCs/>
          <w:sz w:val="22"/>
          <w:szCs w:val="22"/>
        </w:rPr>
        <w:t>Quantitative data</w:t>
      </w:r>
      <w:r>
        <w:rPr>
          <w:rStyle w:val="xnormaltextrun"/>
          <w:rFonts w:asciiTheme="minorHAnsi" w:hAnsiTheme="minorHAnsi" w:cstheme="minorHAnsi"/>
          <w:i/>
          <w:iCs/>
          <w:sz w:val="22"/>
          <w:szCs w:val="22"/>
        </w:rPr>
        <w:t xml:space="preserve"> obtained.</w:t>
      </w:r>
    </w:p>
    <w:tbl>
      <w:tblPr>
        <w:tblStyle w:val="TableGrid"/>
        <w:tblW w:w="9067" w:type="dxa"/>
        <w:tblLook w:val="04A0" w:firstRow="1" w:lastRow="0" w:firstColumn="1" w:lastColumn="0" w:noHBand="0" w:noVBand="1"/>
      </w:tblPr>
      <w:tblGrid>
        <w:gridCol w:w="3022"/>
        <w:gridCol w:w="3022"/>
        <w:gridCol w:w="3023"/>
      </w:tblGrid>
      <w:tr w:rsidR="000F58EE" w:rsidRPr="00EC43C5" w14:paraId="45573676" w14:textId="77777777" w:rsidTr="000F58EE">
        <w:tc>
          <w:tcPr>
            <w:tcW w:w="3022" w:type="dxa"/>
          </w:tcPr>
          <w:p w14:paraId="7AEA00B7" w14:textId="4E421632" w:rsidR="000F58EE" w:rsidRPr="00EC43C5" w:rsidRDefault="00F96266" w:rsidP="007D09AE">
            <w:pPr>
              <w:spacing w:line="360" w:lineRule="auto"/>
              <w:rPr>
                <w:sz w:val="20"/>
                <w:szCs w:val="20"/>
              </w:rPr>
            </w:pPr>
            <w:r w:rsidRPr="00EC43C5">
              <w:rPr>
                <w:sz w:val="20"/>
                <w:szCs w:val="20"/>
              </w:rPr>
              <w:t>Workshop p</w:t>
            </w:r>
            <w:r w:rsidR="000F58EE" w:rsidRPr="00EC43C5">
              <w:rPr>
                <w:sz w:val="20"/>
                <w:szCs w:val="20"/>
              </w:rPr>
              <w:t>articipants</w:t>
            </w:r>
          </w:p>
        </w:tc>
        <w:tc>
          <w:tcPr>
            <w:tcW w:w="3022" w:type="dxa"/>
          </w:tcPr>
          <w:p w14:paraId="7E2A55E7" w14:textId="1EA33BD4" w:rsidR="000F58EE" w:rsidRPr="00EC43C5" w:rsidRDefault="000F58EE" w:rsidP="007D09AE">
            <w:pPr>
              <w:spacing w:line="360" w:lineRule="auto"/>
              <w:rPr>
                <w:sz w:val="20"/>
                <w:szCs w:val="20"/>
              </w:rPr>
            </w:pPr>
            <w:r w:rsidRPr="00EC43C5">
              <w:rPr>
                <w:sz w:val="20"/>
                <w:szCs w:val="20"/>
              </w:rPr>
              <w:t>pre-workshop surveys</w:t>
            </w:r>
            <w:r w:rsidR="00F96266" w:rsidRPr="00EC43C5">
              <w:rPr>
                <w:sz w:val="20"/>
                <w:szCs w:val="20"/>
              </w:rPr>
              <w:t xml:space="preserve"> returned</w:t>
            </w:r>
          </w:p>
        </w:tc>
        <w:tc>
          <w:tcPr>
            <w:tcW w:w="3023" w:type="dxa"/>
          </w:tcPr>
          <w:p w14:paraId="392E6EA3" w14:textId="6BCCE181" w:rsidR="000F58EE" w:rsidRPr="00EC43C5" w:rsidRDefault="000F58EE" w:rsidP="007D09AE">
            <w:pPr>
              <w:spacing w:line="360" w:lineRule="auto"/>
              <w:rPr>
                <w:sz w:val="20"/>
                <w:szCs w:val="20"/>
              </w:rPr>
            </w:pPr>
            <w:r w:rsidRPr="00EC43C5">
              <w:rPr>
                <w:sz w:val="20"/>
                <w:szCs w:val="20"/>
              </w:rPr>
              <w:t>post-workshop surveys</w:t>
            </w:r>
            <w:r w:rsidR="00F96266" w:rsidRPr="00EC43C5">
              <w:rPr>
                <w:sz w:val="20"/>
                <w:szCs w:val="20"/>
              </w:rPr>
              <w:t xml:space="preserve"> returned</w:t>
            </w:r>
          </w:p>
        </w:tc>
      </w:tr>
      <w:tr w:rsidR="000F58EE" w:rsidRPr="00EC43C5" w14:paraId="0793C0A9" w14:textId="77777777" w:rsidTr="000F58EE">
        <w:tc>
          <w:tcPr>
            <w:tcW w:w="3022" w:type="dxa"/>
          </w:tcPr>
          <w:p w14:paraId="3DD11F24" w14:textId="77777777" w:rsidR="000F58EE" w:rsidRPr="00EC43C5" w:rsidRDefault="000F58EE" w:rsidP="007D09AE">
            <w:pPr>
              <w:spacing w:line="360" w:lineRule="auto"/>
              <w:rPr>
                <w:sz w:val="20"/>
                <w:szCs w:val="20"/>
              </w:rPr>
            </w:pPr>
            <w:r w:rsidRPr="00EC43C5">
              <w:rPr>
                <w:sz w:val="20"/>
                <w:szCs w:val="20"/>
              </w:rPr>
              <w:t>101</w:t>
            </w:r>
          </w:p>
        </w:tc>
        <w:tc>
          <w:tcPr>
            <w:tcW w:w="3022" w:type="dxa"/>
          </w:tcPr>
          <w:p w14:paraId="1AA46C7E" w14:textId="77777777" w:rsidR="000F58EE" w:rsidRPr="00EC43C5" w:rsidRDefault="000F58EE" w:rsidP="007D09AE">
            <w:pPr>
              <w:spacing w:line="360" w:lineRule="auto"/>
              <w:rPr>
                <w:sz w:val="20"/>
                <w:szCs w:val="20"/>
              </w:rPr>
            </w:pPr>
            <w:r w:rsidRPr="00EC43C5">
              <w:rPr>
                <w:sz w:val="20"/>
                <w:szCs w:val="20"/>
              </w:rPr>
              <w:t>80</w:t>
            </w:r>
          </w:p>
        </w:tc>
        <w:tc>
          <w:tcPr>
            <w:tcW w:w="3023" w:type="dxa"/>
          </w:tcPr>
          <w:p w14:paraId="30E2CB08" w14:textId="77777777" w:rsidR="000F58EE" w:rsidRPr="00EC43C5" w:rsidRDefault="000F58EE" w:rsidP="007D09AE">
            <w:pPr>
              <w:spacing w:line="360" w:lineRule="auto"/>
              <w:rPr>
                <w:sz w:val="20"/>
                <w:szCs w:val="20"/>
              </w:rPr>
            </w:pPr>
            <w:r w:rsidRPr="00EC43C5">
              <w:rPr>
                <w:sz w:val="20"/>
                <w:szCs w:val="20"/>
              </w:rPr>
              <w:t>96</w:t>
            </w:r>
          </w:p>
        </w:tc>
      </w:tr>
    </w:tbl>
    <w:p w14:paraId="41EE6BFF" w14:textId="77777777" w:rsidR="00031271" w:rsidRPr="005D6861" w:rsidRDefault="00031271" w:rsidP="005D6861">
      <w:pPr>
        <w:spacing w:line="360" w:lineRule="auto"/>
        <w:jc w:val="both"/>
        <w:rPr>
          <w:sz w:val="22"/>
          <w:szCs w:val="22"/>
        </w:rPr>
      </w:pPr>
    </w:p>
    <w:p w14:paraId="34F24487" w14:textId="5395BE16" w:rsidR="00031271" w:rsidRPr="005D6861" w:rsidRDefault="00031271" w:rsidP="005D6861">
      <w:pPr>
        <w:spacing w:line="360" w:lineRule="auto"/>
        <w:jc w:val="both"/>
        <w:rPr>
          <w:sz w:val="22"/>
          <w:szCs w:val="22"/>
        </w:rPr>
      </w:pPr>
      <w:r w:rsidRPr="005D6861">
        <w:rPr>
          <w:sz w:val="22"/>
          <w:szCs w:val="22"/>
        </w:rPr>
        <w:t xml:space="preserve">The data suggests that, prior to the workshops, </w:t>
      </w:r>
      <w:r w:rsidRPr="005D6861">
        <w:rPr>
          <w:b/>
          <w:bCs/>
          <w:sz w:val="22"/>
          <w:szCs w:val="22"/>
        </w:rPr>
        <w:t>62%</w:t>
      </w:r>
      <w:r w:rsidRPr="005D6861">
        <w:rPr>
          <w:sz w:val="22"/>
          <w:szCs w:val="22"/>
        </w:rPr>
        <w:t xml:space="preserve"> of participants had little or no understanding of the concept Foundational Economy/Community Wealth Building, </w:t>
      </w:r>
      <w:r w:rsidRPr="005D6861">
        <w:rPr>
          <w:b/>
          <w:bCs/>
          <w:sz w:val="22"/>
          <w:szCs w:val="22"/>
        </w:rPr>
        <w:t>46%</w:t>
      </w:r>
      <w:r w:rsidRPr="005D6861">
        <w:rPr>
          <w:sz w:val="22"/>
          <w:szCs w:val="22"/>
        </w:rPr>
        <w:t xml:space="preserve"> had no to little understanding of the concept of Circular Economy and </w:t>
      </w:r>
      <w:r w:rsidRPr="005D6861">
        <w:rPr>
          <w:b/>
          <w:bCs/>
          <w:sz w:val="22"/>
          <w:szCs w:val="22"/>
        </w:rPr>
        <w:t>31%</w:t>
      </w:r>
      <w:r w:rsidRPr="005D6861">
        <w:rPr>
          <w:sz w:val="22"/>
          <w:szCs w:val="22"/>
        </w:rPr>
        <w:t xml:space="preserve"> of participants and had little or no understanding of Social Value. Only </w:t>
      </w:r>
      <w:r w:rsidRPr="005D6861">
        <w:rPr>
          <w:b/>
          <w:bCs/>
          <w:sz w:val="22"/>
          <w:szCs w:val="22"/>
        </w:rPr>
        <w:t>9%</w:t>
      </w:r>
      <w:r w:rsidRPr="005D6861">
        <w:rPr>
          <w:sz w:val="22"/>
          <w:szCs w:val="22"/>
        </w:rPr>
        <w:t xml:space="preserve"> had ‘somewhat of an understanding’ of Foundational Economy/Community Wealth Building while </w:t>
      </w:r>
      <w:r w:rsidRPr="005D6861">
        <w:rPr>
          <w:b/>
          <w:bCs/>
          <w:sz w:val="22"/>
          <w:szCs w:val="22"/>
        </w:rPr>
        <w:t>22%</w:t>
      </w:r>
      <w:r w:rsidRPr="005D6861">
        <w:rPr>
          <w:sz w:val="22"/>
          <w:szCs w:val="22"/>
        </w:rPr>
        <w:t xml:space="preserve"> of participants had somewhat or a good understanding of Circular Economy. However, </w:t>
      </w:r>
      <w:r w:rsidRPr="005D6861">
        <w:rPr>
          <w:b/>
          <w:bCs/>
          <w:sz w:val="22"/>
          <w:szCs w:val="22"/>
        </w:rPr>
        <w:t>39%</w:t>
      </w:r>
      <w:r w:rsidRPr="005D6861">
        <w:rPr>
          <w:sz w:val="22"/>
          <w:szCs w:val="22"/>
        </w:rPr>
        <w:t xml:space="preserve"> had somewhat or a good understanding of the concept Social Value. These figures suggest that participants were least familiar with the terms Foundational Economy and Community Wealth Building and more familiar with the term Social Value. </w:t>
      </w:r>
    </w:p>
    <w:p w14:paraId="12EC876F" w14:textId="77777777" w:rsidR="00031271" w:rsidRDefault="00031271" w:rsidP="00031271">
      <w:pPr>
        <w:jc w:val="both"/>
      </w:pPr>
    </w:p>
    <w:p w14:paraId="4D3BB015" w14:textId="18AE2BEF" w:rsidR="00031271" w:rsidRPr="005D6861" w:rsidRDefault="004155CF" w:rsidP="005D6861">
      <w:pPr>
        <w:spacing w:line="360" w:lineRule="auto"/>
        <w:jc w:val="both"/>
        <w:rPr>
          <w:sz w:val="22"/>
          <w:szCs w:val="22"/>
        </w:rPr>
      </w:pPr>
      <w:r>
        <w:rPr>
          <w:sz w:val="22"/>
          <w:szCs w:val="22"/>
        </w:rPr>
        <w:lastRenderedPageBreak/>
        <w:t>The data further suggests that participants</w:t>
      </w:r>
      <w:r w:rsidR="00031271" w:rsidRPr="005D6861">
        <w:rPr>
          <w:sz w:val="22"/>
          <w:szCs w:val="22"/>
        </w:rPr>
        <w:t xml:space="preserve"> enhanced </w:t>
      </w:r>
      <w:r>
        <w:rPr>
          <w:sz w:val="22"/>
          <w:szCs w:val="22"/>
        </w:rPr>
        <w:t xml:space="preserve">their </w:t>
      </w:r>
      <w:r w:rsidR="00031271" w:rsidRPr="005D6861">
        <w:rPr>
          <w:sz w:val="22"/>
          <w:szCs w:val="22"/>
        </w:rPr>
        <w:t xml:space="preserve">understanding of the concepts Foundational Economy/Community Wealth Building, Circular </w:t>
      </w:r>
      <w:proofErr w:type="gramStart"/>
      <w:r w:rsidR="00031271" w:rsidRPr="005D6861">
        <w:rPr>
          <w:sz w:val="22"/>
          <w:szCs w:val="22"/>
        </w:rPr>
        <w:t>Economy</w:t>
      </w:r>
      <w:proofErr w:type="gramEnd"/>
      <w:r w:rsidR="00031271" w:rsidRPr="005D6861">
        <w:rPr>
          <w:sz w:val="22"/>
          <w:szCs w:val="22"/>
        </w:rPr>
        <w:t xml:space="preserve"> and Social Value </w:t>
      </w:r>
      <w:r w:rsidR="009852AF">
        <w:rPr>
          <w:sz w:val="22"/>
          <w:szCs w:val="22"/>
        </w:rPr>
        <w:t xml:space="preserve">through </w:t>
      </w:r>
      <w:r w:rsidR="00031271" w:rsidRPr="005D6861">
        <w:rPr>
          <w:sz w:val="22"/>
          <w:szCs w:val="22"/>
        </w:rPr>
        <w:t>the workshop</w:t>
      </w:r>
      <w:r w:rsidR="002B1AA0">
        <w:rPr>
          <w:sz w:val="22"/>
          <w:szCs w:val="22"/>
        </w:rPr>
        <w:t>s</w:t>
      </w:r>
      <w:r w:rsidR="00031271" w:rsidRPr="005D6861">
        <w:rPr>
          <w:sz w:val="22"/>
          <w:szCs w:val="22"/>
        </w:rPr>
        <w:t>. The majority (</w:t>
      </w:r>
      <w:r w:rsidR="00031271" w:rsidRPr="005D6861">
        <w:rPr>
          <w:b/>
          <w:bCs/>
          <w:sz w:val="22"/>
          <w:szCs w:val="22"/>
        </w:rPr>
        <w:t>88%</w:t>
      </w:r>
      <w:r w:rsidR="00031271" w:rsidRPr="005D6861">
        <w:rPr>
          <w:sz w:val="22"/>
          <w:szCs w:val="22"/>
        </w:rPr>
        <w:t xml:space="preserve">) stated that their understanding of the concept Foundational Economy had improved, </w:t>
      </w:r>
      <w:r w:rsidR="00031271" w:rsidRPr="005D6861">
        <w:rPr>
          <w:b/>
          <w:bCs/>
          <w:sz w:val="22"/>
          <w:szCs w:val="22"/>
        </w:rPr>
        <w:t>88%</w:t>
      </w:r>
      <w:r w:rsidR="00031271" w:rsidRPr="005D6861">
        <w:rPr>
          <w:sz w:val="22"/>
          <w:szCs w:val="22"/>
        </w:rPr>
        <w:t xml:space="preserve"> believed the workshops improved their understanding of the term Circular Economy and </w:t>
      </w:r>
      <w:r w:rsidR="00031271" w:rsidRPr="005D6861">
        <w:rPr>
          <w:b/>
          <w:bCs/>
          <w:sz w:val="22"/>
          <w:szCs w:val="22"/>
        </w:rPr>
        <w:t>88%</w:t>
      </w:r>
      <w:r w:rsidR="00031271" w:rsidRPr="005D6861">
        <w:rPr>
          <w:sz w:val="22"/>
          <w:szCs w:val="22"/>
        </w:rPr>
        <w:t xml:space="preserve"> stated the workshops improved their understanding of the term Social Value. </w:t>
      </w:r>
    </w:p>
    <w:p w14:paraId="05DEE296" w14:textId="77777777" w:rsidR="00031271" w:rsidRPr="005D6861" w:rsidRDefault="00031271" w:rsidP="005D6861">
      <w:pPr>
        <w:spacing w:line="360" w:lineRule="auto"/>
        <w:jc w:val="both"/>
        <w:rPr>
          <w:sz w:val="22"/>
          <w:szCs w:val="22"/>
        </w:rPr>
      </w:pPr>
      <w:r w:rsidRPr="005D6861">
        <w:rPr>
          <w:sz w:val="22"/>
          <w:szCs w:val="22"/>
        </w:rPr>
        <w:t xml:space="preserve">The below figure compares participants’ understanding of the concepts Foundational Economy/CWB, Circular Economy and Social Value before and after the workshop. This chart amalgamates the responses of participants who said they ‘somewhat understood’ or fully understood the terms. </w:t>
      </w:r>
    </w:p>
    <w:p w14:paraId="52A73682" w14:textId="77777777" w:rsidR="00031271" w:rsidRPr="00E143BC" w:rsidRDefault="00031271" w:rsidP="00031271"/>
    <w:p w14:paraId="73E304E5" w14:textId="77777777" w:rsidR="00031271" w:rsidRDefault="00031271" w:rsidP="00031271">
      <w:pPr>
        <w:keepNext/>
        <w:jc w:val="both"/>
      </w:pPr>
      <w:r>
        <w:rPr>
          <w:noProof/>
        </w:rPr>
        <w:drawing>
          <wp:inline distT="0" distB="0" distL="0" distR="0" wp14:anchorId="7792EAAB" wp14:editId="045CBFCF">
            <wp:extent cx="5514975" cy="1837267"/>
            <wp:effectExtent l="0" t="0" r="9525" b="17145"/>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73FC611" w14:textId="73472170" w:rsidR="00031271" w:rsidRDefault="00031271" w:rsidP="00031271">
      <w:pPr>
        <w:pStyle w:val="Caption"/>
        <w:jc w:val="both"/>
      </w:pPr>
      <w:r w:rsidRPr="00F812CF">
        <w:t xml:space="preserve">Figure </w:t>
      </w:r>
      <w:fldSimple w:instr=" SEQ Figure \* ARABIC ">
        <w:r w:rsidR="00042BE7">
          <w:rPr>
            <w:noProof/>
          </w:rPr>
          <w:t>2</w:t>
        </w:r>
      </w:fldSimple>
      <w:r w:rsidRPr="00F812CF">
        <w:t xml:space="preserve"> Understanding of concepts FE/CWB, CE and Social Value before and after </w:t>
      </w:r>
      <w:proofErr w:type="gramStart"/>
      <w:r w:rsidRPr="00F812CF">
        <w:t>worksho</w:t>
      </w:r>
      <w:r>
        <w:t>ps</w:t>
      </w:r>
      <w:proofErr w:type="gramEnd"/>
    </w:p>
    <w:p w14:paraId="149E6434" w14:textId="77777777" w:rsidR="00031271" w:rsidRPr="00027209" w:rsidRDefault="00031271" w:rsidP="00031271">
      <w:pPr>
        <w:jc w:val="both"/>
      </w:pPr>
    </w:p>
    <w:p w14:paraId="03229E01" w14:textId="6B8A737C" w:rsidR="00031271" w:rsidRPr="00D05B6E" w:rsidRDefault="009852AF" w:rsidP="00D05B6E">
      <w:pPr>
        <w:spacing w:line="360" w:lineRule="auto"/>
        <w:rPr>
          <w:sz w:val="22"/>
          <w:szCs w:val="22"/>
        </w:rPr>
      </w:pPr>
      <w:r>
        <w:rPr>
          <w:sz w:val="22"/>
          <w:szCs w:val="22"/>
        </w:rPr>
        <w:t>F</w:t>
      </w:r>
      <w:r w:rsidR="00031271" w:rsidRPr="00D05B6E">
        <w:rPr>
          <w:sz w:val="22"/>
          <w:szCs w:val="22"/>
        </w:rPr>
        <w:t>igure</w:t>
      </w:r>
      <w:r>
        <w:rPr>
          <w:sz w:val="22"/>
          <w:szCs w:val="22"/>
        </w:rPr>
        <w:t xml:space="preserve"> 3 </w:t>
      </w:r>
      <w:r w:rsidR="00031271" w:rsidRPr="00D05B6E">
        <w:rPr>
          <w:sz w:val="22"/>
          <w:szCs w:val="22"/>
        </w:rPr>
        <w:t xml:space="preserve">shows participants’ understanding of the implementation of the well-being goals of the Well-being of Future Generations Act in existing processes and practices before and after the workshops. This chart amalgamates the responses of participants who said they ‘somewhat understood’ or fully understood the implementation. </w:t>
      </w:r>
    </w:p>
    <w:p w14:paraId="62143533" w14:textId="77777777" w:rsidR="00031271" w:rsidRDefault="00031271" w:rsidP="00031271">
      <w:pPr>
        <w:jc w:val="both"/>
      </w:pPr>
    </w:p>
    <w:p w14:paraId="3C49BF25" w14:textId="77777777" w:rsidR="00031271" w:rsidRDefault="00031271" w:rsidP="00031271">
      <w:pPr>
        <w:keepNext/>
        <w:jc w:val="both"/>
      </w:pPr>
      <w:r>
        <w:rPr>
          <w:noProof/>
        </w:rPr>
        <w:drawing>
          <wp:inline distT="0" distB="0" distL="0" distR="0" wp14:anchorId="1FE3BF98" wp14:editId="7F39FD16">
            <wp:extent cx="5514975" cy="1781175"/>
            <wp:effectExtent l="0" t="0" r="9525" b="9525"/>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436C235" w14:textId="7EAD32F0" w:rsidR="00031271" w:rsidRDefault="00031271" w:rsidP="00031271">
      <w:pPr>
        <w:pStyle w:val="Caption"/>
        <w:jc w:val="both"/>
      </w:pPr>
      <w:r w:rsidRPr="004F315D">
        <w:t xml:space="preserve">Figure </w:t>
      </w:r>
      <w:r w:rsidR="00A2659B">
        <w:t>3</w:t>
      </w:r>
      <w:r w:rsidRPr="004F315D">
        <w:t xml:space="preserve"> Understanding of implementation of well-being goals in existing processes and </w:t>
      </w:r>
      <w:proofErr w:type="gramStart"/>
      <w:r w:rsidRPr="004F315D">
        <w:t>practices</w:t>
      </w:r>
      <w:proofErr w:type="gramEnd"/>
    </w:p>
    <w:p w14:paraId="7BF1DC3A" w14:textId="72A8AAAB" w:rsidR="00031271" w:rsidRPr="005D6861" w:rsidRDefault="00031271" w:rsidP="005D6861">
      <w:pPr>
        <w:spacing w:line="360" w:lineRule="auto"/>
        <w:jc w:val="both"/>
        <w:rPr>
          <w:sz w:val="22"/>
          <w:szCs w:val="22"/>
        </w:rPr>
      </w:pPr>
      <w:r w:rsidRPr="005D6861">
        <w:rPr>
          <w:sz w:val="22"/>
          <w:szCs w:val="22"/>
        </w:rPr>
        <w:t xml:space="preserve">The pre-workshop survey </w:t>
      </w:r>
      <w:r w:rsidR="00A2659B">
        <w:rPr>
          <w:sz w:val="22"/>
          <w:szCs w:val="22"/>
        </w:rPr>
        <w:t xml:space="preserve">data </w:t>
      </w:r>
      <w:r w:rsidRPr="005D6861">
        <w:rPr>
          <w:sz w:val="22"/>
          <w:szCs w:val="22"/>
        </w:rPr>
        <w:t xml:space="preserve">suggests </w:t>
      </w:r>
      <w:r w:rsidRPr="005D6861">
        <w:rPr>
          <w:b/>
          <w:bCs/>
          <w:sz w:val="22"/>
          <w:szCs w:val="22"/>
        </w:rPr>
        <w:t>65%</w:t>
      </w:r>
      <w:r w:rsidRPr="005D6861">
        <w:rPr>
          <w:sz w:val="22"/>
          <w:szCs w:val="22"/>
        </w:rPr>
        <w:t xml:space="preserve"> of participants had good </w:t>
      </w:r>
      <w:r w:rsidR="005D6861" w:rsidRPr="005D6861">
        <w:rPr>
          <w:sz w:val="22"/>
          <w:szCs w:val="22"/>
        </w:rPr>
        <w:t>or full</w:t>
      </w:r>
      <w:r w:rsidRPr="005D6861">
        <w:rPr>
          <w:sz w:val="22"/>
          <w:szCs w:val="22"/>
        </w:rPr>
        <w:t xml:space="preserve"> understanding of where the well-being goals could be further implemented. </w:t>
      </w:r>
      <w:r w:rsidR="001A2B51">
        <w:rPr>
          <w:sz w:val="22"/>
          <w:szCs w:val="22"/>
        </w:rPr>
        <w:t xml:space="preserve">Post-workshop survey data </w:t>
      </w:r>
      <w:r w:rsidR="00571010">
        <w:rPr>
          <w:sz w:val="22"/>
          <w:szCs w:val="22"/>
        </w:rPr>
        <w:t>suggests</w:t>
      </w:r>
      <w:r w:rsidRPr="005D6861">
        <w:rPr>
          <w:sz w:val="22"/>
          <w:szCs w:val="22"/>
        </w:rPr>
        <w:t xml:space="preserve"> that</w:t>
      </w:r>
      <w:r w:rsidRPr="005D6861">
        <w:rPr>
          <w:b/>
          <w:bCs/>
          <w:sz w:val="22"/>
          <w:szCs w:val="22"/>
        </w:rPr>
        <w:t xml:space="preserve"> 84%</w:t>
      </w:r>
      <w:r w:rsidRPr="005D6861">
        <w:rPr>
          <w:sz w:val="22"/>
          <w:szCs w:val="22"/>
        </w:rPr>
        <w:t xml:space="preserve"> </w:t>
      </w:r>
      <w:r w:rsidR="001A2B51">
        <w:rPr>
          <w:sz w:val="22"/>
          <w:szCs w:val="22"/>
        </w:rPr>
        <w:t xml:space="preserve">of participants </w:t>
      </w:r>
      <w:r w:rsidRPr="005D6861">
        <w:rPr>
          <w:sz w:val="22"/>
          <w:szCs w:val="22"/>
        </w:rPr>
        <w:t xml:space="preserve">strongly agreed that their understanding of where the seven well-being goals can be applied to new processes and practices improved after the workshops.  </w:t>
      </w:r>
      <w:r w:rsidRPr="008445AB">
        <w:rPr>
          <w:sz w:val="22"/>
          <w:szCs w:val="22"/>
        </w:rPr>
        <w:t xml:space="preserve">The figure </w:t>
      </w:r>
      <w:r w:rsidRPr="005D6861">
        <w:rPr>
          <w:sz w:val="22"/>
          <w:szCs w:val="22"/>
        </w:rPr>
        <w:t xml:space="preserve">below shows the </w:t>
      </w:r>
      <w:r w:rsidRPr="005D6861">
        <w:rPr>
          <w:sz w:val="22"/>
          <w:szCs w:val="22"/>
        </w:rPr>
        <w:lastRenderedPageBreak/>
        <w:t xml:space="preserve">comparison between participants’ understanding of the possible future implementation of the well-being goals of the Well-being of Future Generations Act in new processes and practices before and after the workshops. This chart amalgamates the responses of participants who said they ‘somewhat understood’ or fully understood the implementation. </w:t>
      </w:r>
    </w:p>
    <w:p w14:paraId="089A8706" w14:textId="77777777" w:rsidR="00031271" w:rsidRDefault="00031271" w:rsidP="00031271">
      <w:pPr>
        <w:jc w:val="both"/>
      </w:pPr>
    </w:p>
    <w:p w14:paraId="2B3A9EAA" w14:textId="77777777" w:rsidR="00031271" w:rsidRDefault="00031271" w:rsidP="00031271">
      <w:pPr>
        <w:keepNext/>
        <w:jc w:val="both"/>
      </w:pPr>
      <w:r>
        <w:rPr>
          <w:noProof/>
        </w:rPr>
        <w:drawing>
          <wp:inline distT="0" distB="0" distL="0" distR="0" wp14:anchorId="6EAF3125" wp14:editId="0AAED37E">
            <wp:extent cx="5669280" cy="1892300"/>
            <wp:effectExtent l="0" t="0" r="7620" b="1270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2E59D0E" w14:textId="4819E94F" w:rsidR="00031271" w:rsidRDefault="00031271" w:rsidP="00031271">
      <w:pPr>
        <w:pStyle w:val="Caption"/>
        <w:jc w:val="both"/>
      </w:pPr>
      <w:r w:rsidRPr="004F315D">
        <w:t xml:space="preserve">Figure </w:t>
      </w:r>
      <w:r w:rsidR="009852AF">
        <w:t>4</w:t>
      </w:r>
      <w:r w:rsidRPr="004F315D">
        <w:t xml:space="preserve"> Understanding of possible future implementation of well-being goals in new processes and practices</w:t>
      </w:r>
    </w:p>
    <w:p w14:paraId="3DC6C587" w14:textId="77777777" w:rsidR="00031271" w:rsidRDefault="00031271" w:rsidP="00031271">
      <w:pPr>
        <w:jc w:val="both"/>
      </w:pPr>
    </w:p>
    <w:p w14:paraId="5D302161" w14:textId="1A7D5BA9" w:rsidR="00A63DAC" w:rsidRDefault="00031271" w:rsidP="00D848B8">
      <w:pPr>
        <w:spacing w:line="360" w:lineRule="auto"/>
        <w:jc w:val="both"/>
        <w:rPr>
          <w:sz w:val="22"/>
          <w:szCs w:val="22"/>
        </w:rPr>
      </w:pPr>
      <w:r w:rsidRPr="008445AB">
        <w:rPr>
          <w:sz w:val="22"/>
          <w:szCs w:val="22"/>
        </w:rPr>
        <w:t>Encouragingly,</w:t>
      </w:r>
      <w:r w:rsidR="00FC0497">
        <w:rPr>
          <w:sz w:val="22"/>
          <w:szCs w:val="22"/>
        </w:rPr>
        <w:t xml:space="preserve"> post-workshop</w:t>
      </w:r>
      <w:r w:rsidRPr="008445AB">
        <w:rPr>
          <w:sz w:val="22"/>
          <w:szCs w:val="22"/>
        </w:rPr>
        <w:t xml:space="preserve"> </w:t>
      </w:r>
      <w:r w:rsidRPr="008445AB">
        <w:rPr>
          <w:b/>
          <w:bCs/>
          <w:sz w:val="22"/>
          <w:szCs w:val="22"/>
        </w:rPr>
        <w:t>96%</w:t>
      </w:r>
      <w:r w:rsidRPr="008445AB">
        <w:rPr>
          <w:sz w:val="22"/>
          <w:szCs w:val="22"/>
        </w:rPr>
        <w:t xml:space="preserve"> </w:t>
      </w:r>
      <w:r w:rsidR="00FC0497">
        <w:rPr>
          <w:sz w:val="22"/>
          <w:szCs w:val="22"/>
        </w:rPr>
        <w:t xml:space="preserve">of participants </w:t>
      </w:r>
      <w:r w:rsidRPr="008445AB">
        <w:rPr>
          <w:sz w:val="22"/>
          <w:szCs w:val="22"/>
        </w:rPr>
        <w:t>said they were likely or extremely likely to inform their colleagues about their actions in terms of implementing the principles</w:t>
      </w:r>
      <w:r w:rsidR="00FC0497">
        <w:rPr>
          <w:sz w:val="22"/>
          <w:szCs w:val="22"/>
        </w:rPr>
        <w:t xml:space="preserve"> while </w:t>
      </w:r>
      <w:r w:rsidR="00FC0497" w:rsidRPr="00FC0497">
        <w:rPr>
          <w:b/>
          <w:bCs/>
          <w:sz w:val="22"/>
          <w:szCs w:val="22"/>
        </w:rPr>
        <w:t>94%</w:t>
      </w:r>
      <w:r w:rsidRPr="008445AB">
        <w:rPr>
          <w:sz w:val="22"/>
          <w:szCs w:val="22"/>
        </w:rPr>
        <w:t xml:space="preserve"> advised they were likely to explain the concepts to their colleagues.</w:t>
      </w:r>
      <w:r w:rsidR="00D848B8">
        <w:rPr>
          <w:sz w:val="22"/>
          <w:szCs w:val="22"/>
        </w:rPr>
        <w:t xml:space="preserve">  </w:t>
      </w:r>
      <w:r w:rsidRPr="005D6861">
        <w:rPr>
          <w:sz w:val="22"/>
          <w:szCs w:val="22"/>
        </w:rPr>
        <w:t xml:space="preserve">The survey data suggests that </w:t>
      </w:r>
      <w:r w:rsidRPr="005D6861">
        <w:rPr>
          <w:b/>
          <w:bCs/>
          <w:sz w:val="22"/>
          <w:szCs w:val="22"/>
        </w:rPr>
        <w:t>89%</w:t>
      </w:r>
      <w:r w:rsidRPr="005D6861">
        <w:rPr>
          <w:sz w:val="22"/>
          <w:szCs w:val="22"/>
        </w:rPr>
        <w:t xml:space="preserve"> of participants found the social learning theory informed design of the workshop enabled a deeper understanding of the concepts.  </w:t>
      </w:r>
      <w:r w:rsidR="002905E9">
        <w:rPr>
          <w:sz w:val="22"/>
          <w:szCs w:val="22"/>
        </w:rPr>
        <w:t>Moreover,</w:t>
      </w:r>
      <w:r w:rsidRPr="005D6861">
        <w:rPr>
          <w:sz w:val="22"/>
          <w:szCs w:val="22"/>
        </w:rPr>
        <w:t xml:space="preserve"> </w:t>
      </w:r>
      <w:r w:rsidRPr="005D6861">
        <w:rPr>
          <w:b/>
          <w:bCs/>
          <w:sz w:val="22"/>
          <w:szCs w:val="22"/>
        </w:rPr>
        <w:t>91%</w:t>
      </w:r>
      <w:r w:rsidRPr="005D6861">
        <w:rPr>
          <w:sz w:val="22"/>
          <w:szCs w:val="22"/>
        </w:rPr>
        <w:t xml:space="preserve"> agreed that the peer discussion elements were beneficial to developing a deeper understanding of the concepts. </w:t>
      </w:r>
      <w:r w:rsidR="009852AF">
        <w:rPr>
          <w:sz w:val="22"/>
          <w:szCs w:val="22"/>
        </w:rPr>
        <w:t>Most</w:t>
      </w:r>
      <w:r w:rsidR="003E1A67">
        <w:rPr>
          <w:sz w:val="22"/>
          <w:szCs w:val="22"/>
        </w:rPr>
        <w:t xml:space="preserve"> participants (</w:t>
      </w:r>
      <w:r w:rsidR="003E1A67" w:rsidRPr="003E1A67">
        <w:rPr>
          <w:b/>
          <w:bCs/>
          <w:sz w:val="22"/>
          <w:szCs w:val="22"/>
        </w:rPr>
        <w:t>97%</w:t>
      </w:r>
      <w:r w:rsidR="003E1A67">
        <w:rPr>
          <w:sz w:val="22"/>
          <w:szCs w:val="22"/>
        </w:rPr>
        <w:t xml:space="preserve">) </w:t>
      </w:r>
      <w:r w:rsidRPr="005D6861">
        <w:rPr>
          <w:sz w:val="22"/>
          <w:szCs w:val="22"/>
        </w:rPr>
        <w:t>were somewhat or extremely satisfied with workshop delivery</w:t>
      </w:r>
      <w:r w:rsidR="009852AF">
        <w:rPr>
          <w:sz w:val="22"/>
          <w:szCs w:val="22"/>
        </w:rPr>
        <w:t>, which the study suggests is a proxy for the efficacy of the workshop design and delivery</w:t>
      </w:r>
      <w:r w:rsidRPr="005D6861">
        <w:rPr>
          <w:sz w:val="22"/>
          <w:szCs w:val="22"/>
        </w:rPr>
        <w:t xml:space="preserve">. </w:t>
      </w:r>
      <w:r w:rsidR="009852AF">
        <w:rPr>
          <w:sz w:val="22"/>
          <w:szCs w:val="22"/>
        </w:rPr>
        <w:t>T</w:t>
      </w:r>
      <w:r w:rsidRPr="005D6861">
        <w:rPr>
          <w:sz w:val="22"/>
          <w:szCs w:val="22"/>
        </w:rPr>
        <w:t>he</w:t>
      </w:r>
      <w:r w:rsidR="009852AF">
        <w:rPr>
          <w:sz w:val="22"/>
          <w:szCs w:val="22"/>
        </w:rPr>
        <w:t xml:space="preserve"> data </w:t>
      </w:r>
      <w:r w:rsidRPr="005D6861">
        <w:rPr>
          <w:sz w:val="22"/>
          <w:szCs w:val="22"/>
        </w:rPr>
        <w:t>show</w:t>
      </w:r>
      <w:r w:rsidR="009852AF">
        <w:rPr>
          <w:sz w:val="22"/>
          <w:szCs w:val="22"/>
        </w:rPr>
        <w:t>s</w:t>
      </w:r>
      <w:r w:rsidRPr="005D6861">
        <w:rPr>
          <w:sz w:val="22"/>
          <w:szCs w:val="22"/>
        </w:rPr>
        <w:t xml:space="preserve"> that participants were very satisfied with the workshop delivery and found that the interactive elements helped enhance their understanding of the concepts. </w:t>
      </w:r>
    </w:p>
    <w:p w14:paraId="12FD50C0" w14:textId="5F4965D2" w:rsidR="00EF248E" w:rsidRPr="009852AF" w:rsidRDefault="00EF248E" w:rsidP="00EF248E">
      <w:pPr>
        <w:pStyle w:val="xparagraph"/>
        <w:spacing w:after="0" w:afterAutospacing="0" w:line="360" w:lineRule="auto"/>
        <w:jc w:val="both"/>
        <w:textAlignment w:val="baseline"/>
        <w:rPr>
          <w:rStyle w:val="xnormaltextrun"/>
          <w:rFonts w:asciiTheme="minorHAnsi" w:hAnsiTheme="minorHAnsi" w:cstheme="minorHAnsi"/>
          <w:i/>
          <w:iCs/>
          <w:sz w:val="22"/>
          <w:szCs w:val="22"/>
        </w:rPr>
      </w:pPr>
      <w:r w:rsidRPr="009852AF">
        <w:rPr>
          <w:rStyle w:val="xnormaltextrun"/>
          <w:rFonts w:asciiTheme="minorHAnsi" w:hAnsiTheme="minorHAnsi" w:cstheme="minorHAnsi"/>
          <w:i/>
          <w:iCs/>
          <w:sz w:val="22"/>
          <w:szCs w:val="22"/>
        </w:rPr>
        <w:t>Qualitative data</w:t>
      </w:r>
    </w:p>
    <w:p w14:paraId="38901638" w14:textId="0CE83CC3" w:rsidR="00BB23C8" w:rsidRPr="009852AF" w:rsidRDefault="009852AF" w:rsidP="00EF248E">
      <w:pPr>
        <w:pStyle w:val="xparagraph"/>
        <w:spacing w:after="0" w:afterAutospacing="0" w:line="360" w:lineRule="auto"/>
        <w:jc w:val="both"/>
        <w:textAlignment w:val="baseline"/>
        <w:rPr>
          <w:rStyle w:val="xnormaltextrun"/>
          <w:rFonts w:asciiTheme="minorHAnsi" w:hAnsiTheme="minorHAnsi" w:cstheme="minorHAnsi"/>
          <w:i/>
          <w:iCs/>
          <w:sz w:val="22"/>
          <w:szCs w:val="22"/>
        </w:rPr>
      </w:pPr>
      <w:r w:rsidRPr="009852AF">
        <w:rPr>
          <w:rStyle w:val="xnormaltextrun"/>
          <w:rFonts w:asciiTheme="minorHAnsi" w:hAnsiTheme="minorHAnsi" w:cstheme="minorHAnsi"/>
          <w:i/>
          <w:iCs/>
          <w:sz w:val="22"/>
          <w:szCs w:val="22"/>
        </w:rPr>
        <w:t xml:space="preserve">Table 2: </w:t>
      </w:r>
      <w:r w:rsidR="00BB200A" w:rsidRPr="009852AF">
        <w:rPr>
          <w:rStyle w:val="xnormaltextrun"/>
          <w:rFonts w:asciiTheme="minorHAnsi" w:hAnsiTheme="minorHAnsi" w:cstheme="minorHAnsi"/>
          <w:i/>
          <w:iCs/>
          <w:sz w:val="22"/>
          <w:szCs w:val="22"/>
        </w:rPr>
        <w:t>Qualitative dat</w:t>
      </w:r>
      <w:r w:rsidR="00BB200A">
        <w:rPr>
          <w:rStyle w:val="xnormaltextrun"/>
          <w:rFonts w:asciiTheme="minorHAnsi" w:hAnsiTheme="minorHAnsi" w:cstheme="minorHAnsi"/>
          <w:i/>
          <w:iCs/>
          <w:sz w:val="22"/>
          <w:szCs w:val="22"/>
        </w:rPr>
        <w:t>a o</w:t>
      </w:r>
      <w:r w:rsidR="00461DCC" w:rsidRPr="009852AF">
        <w:rPr>
          <w:rStyle w:val="xnormaltextrun"/>
          <w:rFonts w:asciiTheme="minorHAnsi" w:hAnsiTheme="minorHAnsi" w:cstheme="minorHAnsi"/>
          <w:i/>
          <w:iCs/>
          <w:sz w:val="22"/>
          <w:szCs w:val="22"/>
        </w:rPr>
        <w:t xml:space="preserve">verview </w:t>
      </w:r>
    </w:p>
    <w:tbl>
      <w:tblPr>
        <w:tblStyle w:val="TableGrid"/>
        <w:tblW w:w="0" w:type="auto"/>
        <w:tblLook w:val="04A0" w:firstRow="1" w:lastRow="0" w:firstColumn="1" w:lastColumn="0" w:noHBand="0" w:noVBand="1"/>
      </w:tblPr>
      <w:tblGrid>
        <w:gridCol w:w="1346"/>
        <w:gridCol w:w="1511"/>
        <w:gridCol w:w="2229"/>
        <w:gridCol w:w="2181"/>
        <w:gridCol w:w="1749"/>
      </w:tblGrid>
      <w:tr w:rsidR="00BB200A" w14:paraId="661BAA7F" w14:textId="50428848" w:rsidTr="00BB200A">
        <w:tc>
          <w:tcPr>
            <w:tcW w:w="1346" w:type="dxa"/>
          </w:tcPr>
          <w:p w14:paraId="307334E6" w14:textId="0BEA3567" w:rsidR="00BB200A" w:rsidRPr="00BB34B3" w:rsidRDefault="00BB200A" w:rsidP="006438FB">
            <w:pPr>
              <w:spacing w:line="360" w:lineRule="auto"/>
              <w:rPr>
                <w:b/>
                <w:bCs/>
                <w:sz w:val="22"/>
                <w:szCs w:val="22"/>
              </w:rPr>
            </w:pPr>
            <w:r w:rsidRPr="00BB34B3">
              <w:rPr>
                <w:b/>
                <w:bCs/>
                <w:sz w:val="22"/>
                <w:szCs w:val="22"/>
              </w:rPr>
              <w:t>Focus Group</w:t>
            </w:r>
            <w:r>
              <w:rPr>
                <w:b/>
                <w:bCs/>
                <w:sz w:val="22"/>
                <w:szCs w:val="22"/>
              </w:rPr>
              <w:t>s</w:t>
            </w:r>
            <w:r w:rsidRPr="00BB34B3">
              <w:rPr>
                <w:b/>
                <w:bCs/>
                <w:sz w:val="22"/>
                <w:szCs w:val="22"/>
              </w:rPr>
              <w:t xml:space="preserve"> </w:t>
            </w:r>
          </w:p>
        </w:tc>
        <w:tc>
          <w:tcPr>
            <w:tcW w:w="1511" w:type="dxa"/>
          </w:tcPr>
          <w:p w14:paraId="4EC13BB0" w14:textId="0CAEAF0F" w:rsidR="00BB200A" w:rsidRPr="00BB34B3" w:rsidRDefault="00D848B8" w:rsidP="006438FB">
            <w:pPr>
              <w:spacing w:line="360" w:lineRule="auto"/>
              <w:rPr>
                <w:b/>
                <w:bCs/>
                <w:sz w:val="22"/>
                <w:szCs w:val="22"/>
              </w:rPr>
            </w:pPr>
            <w:r>
              <w:rPr>
                <w:b/>
                <w:bCs/>
                <w:sz w:val="22"/>
                <w:szCs w:val="22"/>
              </w:rPr>
              <w:t>P</w:t>
            </w:r>
            <w:r w:rsidR="00BB200A" w:rsidRPr="00BB34B3">
              <w:rPr>
                <w:b/>
                <w:bCs/>
                <w:sz w:val="22"/>
                <w:szCs w:val="22"/>
              </w:rPr>
              <w:t>articipant</w:t>
            </w:r>
            <w:r>
              <w:rPr>
                <w:b/>
                <w:bCs/>
                <w:sz w:val="22"/>
                <w:szCs w:val="22"/>
              </w:rPr>
              <w:t xml:space="preserve"> number</w:t>
            </w:r>
            <w:r w:rsidR="00BB200A" w:rsidRPr="00BB34B3">
              <w:rPr>
                <w:b/>
                <w:bCs/>
                <w:sz w:val="22"/>
                <w:szCs w:val="22"/>
              </w:rPr>
              <w:t>s</w:t>
            </w:r>
          </w:p>
        </w:tc>
        <w:tc>
          <w:tcPr>
            <w:tcW w:w="2229" w:type="dxa"/>
          </w:tcPr>
          <w:p w14:paraId="50F5E824" w14:textId="00C9C79C" w:rsidR="00BB200A" w:rsidRPr="00BB34B3" w:rsidRDefault="00BB200A" w:rsidP="006438FB">
            <w:pPr>
              <w:spacing w:line="360" w:lineRule="auto"/>
              <w:rPr>
                <w:b/>
                <w:bCs/>
                <w:sz w:val="22"/>
                <w:szCs w:val="22"/>
              </w:rPr>
            </w:pPr>
            <w:r>
              <w:rPr>
                <w:b/>
                <w:bCs/>
                <w:sz w:val="22"/>
                <w:szCs w:val="22"/>
              </w:rPr>
              <w:t>Semi-structured interviews</w:t>
            </w:r>
          </w:p>
        </w:tc>
        <w:tc>
          <w:tcPr>
            <w:tcW w:w="2181" w:type="dxa"/>
          </w:tcPr>
          <w:p w14:paraId="657FABCE" w14:textId="77777777" w:rsidR="00D848B8" w:rsidRDefault="00D848B8" w:rsidP="006438FB">
            <w:pPr>
              <w:spacing w:line="360" w:lineRule="auto"/>
              <w:rPr>
                <w:b/>
                <w:bCs/>
                <w:sz w:val="22"/>
                <w:szCs w:val="22"/>
              </w:rPr>
            </w:pPr>
            <w:r>
              <w:rPr>
                <w:b/>
                <w:bCs/>
                <w:sz w:val="22"/>
                <w:szCs w:val="22"/>
              </w:rPr>
              <w:t>P</w:t>
            </w:r>
            <w:r w:rsidR="00BB200A" w:rsidRPr="00BB34B3">
              <w:rPr>
                <w:b/>
                <w:bCs/>
                <w:sz w:val="22"/>
                <w:szCs w:val="22"/>
              </w:rPr>
              <w:t>articipants</w:t>
            </w:r>
            <w:r>
              <w:rPr>
                <w:b/>
                <w:bCs/>
                <w:sz w:val="22"/>
                <w:szCs w:val="22"/>
              </w:rPr>
              <w:t xml:space="preserve"> </w:t>
            </w:r>
          </w:p>
          <w:p w14:paraId="60A527E2" w14:textId="727AA102" w:rsidR="00BB200A" w:rsidRDefault="00D848B8" w:rsidP="006438FB">
            <w:pPr>
              <w:spacing w:line="360" w:lineRule="auto"/>
              <w:rPr>
                <w:b/>
                <w:bCs/>
                <w:sz w:val="22"/>
                <w:szCs w:val="22"/>
              </w:rPr>
            </w:pPr>
            <w:r>
              <w:rPr>
                <w:b/>
                <w:bCs/>
                <w:sz w:val="22"/>
                <w:szCs w:val="22"/>
              </w:rPr>
              <w:t>numbers</w:t>
            </w:r>
          </w:p>
        </w:tc>
        <w:tc>
          <w:tcPr>
            <w:tcW w:w="1749" w:type="dxa"/>
          </w:tcPr>
          <w:p w14:paraId="23732147" w14:textId="665BBBB9" w:rsidR="00BB200A" w:rsidRPr="00BB34B3" w:rsidRDefault="00BB200A" w:rsidP="006438FB">
            <w:pPr>
              <w:spacing w:line="360" w:lineRule="auto"/>
              <w:rPr>
                <w:b/>
                <w:bCs/>
                <w:sz w:val="22"/>
                <w:szCs w:val="22"/>
              </w:rPr>
            </w:pPr>
            <w:r>
              <w:rPr>
                <w:b/>
                <w:bCs/>
                <w:sz w:val="22"/>
                <w:szCs w:val="22"/>
              </w:rPr>
              <w:t>V</w:t>
            </w:r>
            <w:r>
              <w:rPr>
                <w:b/>
                <w:bCs/>
              </w:rPr>
              <w:t>isual Data artefacts</w:t>
            </w:r>
          </w:p>
        </w:tc>
      </w:tr>
      <w:tr w:rsidR="00BB200A" w14:paraId="0DA4954E" w14:textId="12D06295" w:rsidTr="00BB200A">
        <w:tc>
          <w:tcPr>
            <w:tcW w:w="1346" w:type="dxa"/>
          </w:tcPr>
          <w:p w14:paraId="698E205A" w14:textId="60EE4CF1" w:rsidR="00BB200A" w:rsidRPr="006438FB" w:rsidRDefault="00BB200A" w:rsidP="006438FB">
            <w:pPr>
              <w:spacing w:line="360" w:lineRule="auto"/>
              <w:jc w:val="center"/>
              <w:rPr>
                <w:sz w:val="22"/>
                <w:szCs w:val="22"/>
              </w:rPr>
            </w:pPr>
            <w:r w:rsidRPr="006438FB">
              <w:rPr>
                <w:sz w:val="22"/>
                <w:szCs w:val="22"/>
              </w:rPr>
              <w:t>7</w:t>
            </w:r>
          </w:p>
        </w:tc>
        <w:tc>
          <w:tcPr>
            <w:tcW w:w="1511" w:type="dxa"/>
          </w:tcPr>
          <w:p w14:paraId="0C7C0A52" w14:textId="44F456D5" w:rsidR="00BB200A" w:rsidRPr="006438FB" w:rsidRDefault="00BB200A" w:rsidP="006438FB">
            <w:pPr>
              <w:spacing w:line="360" w:lineRule="auto"/>
              <w:jc w:val="center"/>
              <w:rPr>
                <w:sz w:val="22"/>
                <w:szCs w:val="22"/>
              </w:rPr>
            </w:pPr>
            <w:r w:rsidRPr="006438FB">
              <w:rPr>
                <w:sz w:val="22"/>
                <w:szCs w:val="22"/>
              </w:rPr>
              <w:t>101</w:t>
            </w:r>
          </w:p>
        </w:tc>
        <w:tc>
          <w:tcPr>
            <w:tcW w:w="2229" w:type="dxa"/>
          </w:tcPr>
          <w:p w14:paraId="6CF4F1B9" w14:textId="57FB5B66" w:rsidR="00BB200A" w:rsidRPr="006438FB" w:rsidRDefault="00BB200A" w:rsidP="006438FB">
            <w:pPr>
              <w:spacing w:line="360" w:lineRule="auto"/>
              <w:jc w:val="center"/>
              <w:rPr>
                <w:sz w:val="22"/>
                <w:szCs w:val="22"/>
              </w:rPr>
            </w:pPr>
            <w:r w:rsidRPr="006438FB">
              <w:rPr>
                <w:sz w:val="22"/>
                <w:szCs w:val="22"/>
              </w:rPr>
              <w:t>4</w:t>
            </w:r>
          </w:p>
        </w:tc>
        <w:tc>
          <w:tcPr>
            <w:tcW w:w="2181" w:type="dxa"/>
          </w:tcPr>
          <w:p w14:paraId="5384E0D1" w14:textId="4C611F23" w:rsidR="00BB200A" w:rsidRPr="006438FB" w:rsidRDefault="00BB200A" w:rsidP="006438FB">
            <w:pPr>
              <w:spacing w:line="360" w:lineRule="auto"/>
              <w:jc w:val="center"/>
              <w:rPr>
                <w:sz w:val="22"/>
                <w:szCs w:val="22"/>
              </w:rPr>
            </w:pPr>
            <w:r w:rsidRPr="006438FB">
              <w:rPr>
                <w:sz w:val="22"/>
                <w:szCs w:val="22"/>
              </w:rPr>
              <w:t>4</w:t>
            </w:r>
          </w:p>
        </w:tc>
        <w:tc>
          <w:tcPr>
            <w:tcW w:w="1749" w:type="dxa"/>
          </w:tcPr>
          <w:p w14:paraId="5F62B409" w14:textId="5AEA015A" w:rsidR="00BB200A" w:rsidRPr="006438FB" w:rsidRDefault="006858CF" w:rsidP="006438FB">
            <w:pPr>
              <w:spacing w:line="360" w:lineRule="auto"/>
              <w:jc w:val="center"/>
              <w:rPr>
                <w:sz w:val="22"/>
                <w:szCs w:val="22"/>
              </w:rPr>
            </w:pPr>
            <w:r w:rsidRPr="006858CF">
              <w:rPr>
                <w:color w:val="000000" w:themeColor="text1"/>
                <w:sz w:val="22"/>
                <w:szCs w:val="22"/>
              </w:rPr>
              <w:t>42</w:t>
            </w:r>
          </w:p>
        </w:tc>
      </w:tr>
    </w:tbl>
    <w:p w14:paraId="36F93F47" w14:textId="77777777" w:rsidR="00EF248E" w:rsidRDefault="00EF248E" w:rsidP="00FC0497">
      <w:pPr>
        <w:spacing w:line="360" w:lineRule="auto"/>
        <w:rPr>
          <w:sz w:val="22"/>
          <w:szCs w:val="22"/>
        </w:rPr>
      </w:pPr>
    </w:p>
    <w:p w14:paraId="5B6DB0CB" w14:textId="04EDD948" w:rsidR="000D10C0" w:rsidRPr="009852AF" w:rsidRDefault="009852AF" w:rsidP="000D10C0">
      <w:pPr>
        <w:spacing w:line="360" w:lineRule="auto"/>
        <w:rPr>
          <w:i/>
          <w:iCs/>
          <w:sz w:val="22"/>
          <w:szCs w:val="22"/>
        </w:rPr>
      </w:pPr>
      <w:r w:rsidRPr="009852AF">
        <w:rPr>
          <w:i/>
          <w:iCs/>
          <w:sz w:val="22"/>
          <w:szCs w:val="22"/>
        </w:rPr>
        <w:t xml:space="preserve">Figure 5: </w:t>
      </w:r>
      <w:r w:rsidR="000D10C0" w:rsidRPr="009852AF">
        <w:rPr>
          <w:i/>
          <w:iCs/>
          <w:sz w:val="22"/>
          <w:szCs w:val="22"/>
        </w:rPr>
        <w:t>Indicative visual data</w:t>
      </w:r>
    </w:p>
    <w:p w14:paraId="1A244B05" w14:textId="77777777" w:rsidR="000D10C0" w:rsidRDefault="000D10C0" w:rsidP="000D10C0">
      <w:pPr>
        <w:spacing w:line="360" w:lineRule="auto"/>
        <w:rPr>
          <w:sz w:val="22"/>
          <w:szCs w:val="22"/>
        </w:rPr>
      </w:pPr>
      <w:r>
        <w:rPr>
          <w:noProof/>
          <w:sz w:val="22"/>
          <w:szCs w:val="22"/>
        </w:rPr>
        <w:lastRenderedPageBreak/>
        <w:drawing>
          <wp:inline distT="0" distB="0" distL="0" distR="0" wp14:anchorId="358E918C" wp14:editId="595DC62C">
            <wp:extent cx="2081644" cy="1954107"/>
            <wp:effectExtent l="0" t="0" r="1270" b="1905"/>
            <wp:docPr id="1739219609" name="Picture 1" descr="Several post-it notes on a white 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219609" name="Picture 1" descr="Several post-it notes on a white board&#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089089" cy="1961096"/>
                    </a:xfrm>
                    <a:prstGeom prst="rect">
                      <a:avLst/>
                    </a:prstGeom>
                  </pic:spPr>
                </pic:pic>
              </a:graphicData>
            </a:graphic>
          </wp:inline>
        </w:drawing>
      </w:r>
      <w:r>
        <w:rPr>
          <w:sz w:val="22"/>
          <w:szCs w:val="22"/>
        </w:rPr>
        <w:t xml:space="preserve"> </w:t>
      </w:r>
      <w:r>
        <w:rPr>
          <w:noProof/>
          <w:sz w:val="22"/>
          <w:szCs w:val="22"/>
        </w:rPr>
        <w:drawing>
          <wp:inline distT="0" distB="0" distL="0" distR="0" wp14:anchorId="78230A7E" wp14:editId="735668D9">
            <wp:extent cx="1866799" cy="1950720"/>
            <wp:effectExtent l="0" t="0" r="635" b="0"/>
            <wp:docPr id="464478246" name="Picture 2" descr="A white board with many sticky not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478246" name="Picture 2" descr="A white board with many sticky notes&#10;&#10;Description automatically generated"/>
                    <pic:cNvPicPr/>
                  </pic:nvPicPr>
                  <pic:blipFill rotWithShape="1">
                    <a:blip r:embed="rId14">
                      <a:extLst>
                        <a:ext uri="{28A0092B-C50C-407E-A947-70E740481C1C}">
                          <a14:useLocalDpi xmlns:a14="http://schemas.microsoft.com/office/drawing/2010/main" val="0"/>
                        </a:ext>
                      </a:extLst>
                    </a:blip>
                    <a:srcRect t="13459" b="8233"/>
                    <a:stretch/>
                  </pic:blipFill>
                  <pic:spPr bwMode="auto">
                    <a:xfrm>
                      <a:off x="0" y="0"/>
                      <a:ext cx="1869218" cy="1953248"/>
                    </a:xfrm>
                    <a:prstGeom prst="rect">
                      <a:avLst/>
                    </a:prstGeom>
                    <a:ln>
                      <a:noFill/>
                    </a:ln>
                    <a:extLst>
                      <a:ext uri="{53640926-AAD7-44D8-BBD7-CCE9431645EC}">
                        <a14:shadowObscured xmlns:a14="http://schemas.microsoft.com/office/drawing/2010/main"/>
                      </a:ext>
                    </a:extLst>
                  </pic:spPr>
                </pic:pic>
              </a:graphicData>
            </a:graphic>
          </wp:inline>
        </w:drawing>
      </w:r>
      <w:r>
        <w:rPr>
          <w:sz w:val="22"/>
          <w:szCs w:val="22"/>
        </w:rPr>
        <w:t xml:space="preserve"> </w:t>
      </w:r>
      <w:r>
        <w:rPr>
          <w:noProof/>
          <w:sz w:val="22"/>
          <w:szCs w:val="22"/>
        </w:rPr>
        <w:drawing>
          <wp:inline distT="0" distB="0" distL="0" distR="0" wp14:anchorId="55014E62" wp14:editId="61207DA4">
            <wp:extent cx="1538605" cy="1943947"/>
            <wp:effectExtent l="0" t="0" r="0" b="0"/>
            <wp:docPr id="1030572842" name="Picture 3" descr="A white board with many sticky not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572842" name="Picture 3" descr="A white board with many sticky notes&#10;&#10;Description automatically generated"/>
                    <pic:cNvPicPr/>
                  </pic:nvPicPr>
                  <pic:blipFill rotWithShape="1">
                    <a:blip r:embed="rId15">
                      <a:extLst>
                        <a:ext uri="{28A0092B-C50C-407E-A947-70E740481C1C}">
                          <a14:useLocalDpi xmlns:a14="http://schemas.microsoft.com/office/drawing/2010/main" val="0"/>
                        </a:ext>
                      </a:extLst>
                    </a:blip>
                    <a:srcRect t="6308" b="6850"/>
                    <a:stretch/>
                  </pic:blipFill>
                  <pic:spPr bwMode="auto">
                    <a:xfrm>
                      <a:off x="0" y="0"/>
                      <a:ext cx="1546882" cy="1954405"/>
                    </a:xfrm>
                    <a:prstGeom prst="rect">
                      <a:avLst/>
                    </a:prstGeom>
                    <a:ln>
                      <a:noFill/>
                    </a:ln>
                    <a:extLst>
                      <a:ext uri="{53640926-AAD7-44D8-BBD7-CCE9431645EC}">
                        <a14:shadowObscured xmlns:a14="http://schemas.microsoft.com/office/drawing/2010/main"/>
                      </a:ext>
                    </a:extLst>
                  </pic:spPr>
                </pic:pic>
              </a:graphicData>
            </a:graphic>
          </wp:inline>
        </w:drawing>
      </w:r>
    </w:p>
    <w:p w14:paraId="573DCBF2" w14:textId="2E69FD41" w:rsidR="00207460" w:rsidRPr="005C6417" w:rsidRDefault="000D10C0" w:rsidP="00FC0497">
      <w:pPr>
        <w:spacing w:line="360" w:lineRule="auto"/>
        <w:rPr>
          <w:sz w:val="22"/>
          <w:szCs w:val="22"/>
        </w:rPr>
      </w:pPr>
      <w:r>
        <w:rPr>
          <w:sz w:val="22"/>
          <w:szCs w:val="22"/>
        </w:rPr>
        <w:t xml:space="preserve">The visual data </w:t>
      </w:r>
      <w:r w:rsidR="006438FB">
        <w:rPr>
          <w:sz w:val="22"/>
          <w:szCs w:val="22"/>
        </w:rPr>
        <w:t>collected provides evidence</w:t>
      </w:r>
      <w:r>
        <w:rPr>
          <w:sz w:val="22"/>
          <w:szCs w:val="22"/>
        </w:rPr>
        <w:t xml:space="preserve"> </w:t>
      </w:r>
      <w:r w:rsidR="006438FB">
        <w:rPr>
          <w:sz w:val="22"/>
          <w:szCs w:val="22"/>
        </w:rPr>
        <w:t xml:space="preserve">of the dialogical, participative </w:t>
      </w:r>
      <w:r>
        <w:rPr>
          <w:sz w:val="22"/>
          <w:szCs w:val="22"/>
        </w:rPr>
        <w:t>pedagog</w:t>
      </w:r>
      <w:r w:rsidR="006438FB">
        <w:rPr>
          <w:sz w:val="22"/>
          <w:szCs w:val="22"/>
        </w:rPr>
        <w:t xml:space="preserve">ical </w:t>
      </w:r>
      <w:r w:rsidRPr="006F63D8">
        <w:rPr>
          <w:sz w:val="22"/>
          <w:szCs w:val="22"/>
        </w:rPr>
        <w:t xml:space="preserve">approach </w:t>
      </w:r>
      <w:r w:rsidR="006438FB">
        <w:rPr>
          <w:sz w:val="22"/>
          <w:szCs w:val="22"/>
        </w:rPr>
        <w:t xml:space="preserve">employed.  </w:t>
      </w:r>
      <w:r w:rsidR="00DE4BD3">
        <w:rPr>
          <w:sz w:val="22"/>
          <w:szCs w:val="22"/>
        </w:rPr>
        <w:t xml:space="preserve">The </w:t>
      </w:r>
      <w:r w:rsidR="005C6417">
        <w:rPr>
          <w:sz w:val="22"/>
          <w:szCs w:val="22"/>
        </w:rPr>
        <w:t xml:space="preserve">visual data evidences the value of using the SECI model (Nonaka and Takeuchi, 1995) as a structure for a dialogical approach to knowledge sharing and enhancement. The thematic analysis, to be included in the </w:t>
      </w:r>
      <w:r w:rsidR="00DE4BD3">
        <w:rPr>
          <w:sz w:val="22"/>
          <w:szCs w:val="22"/>
        </w:rPr>
        <w:t>full paper</w:t>
      </w:r>
      <w:r w:rsidR="005C6417">
        <w:rPr>
          <w:sz w:val="22"/>
          <w:szCs w:val="22"/>
        </w:rPr>
        <w:t>,</w:t>
      </w:r>
      <w:r w:rsidR="00DE4BD3">
        <w:rPr>
          <w:sz w:val="22"/>
          <w:szCs w:val="22"/>
        </w:rPr>
        <w:t xml:space="preserve"> will</w:t>
      </w:r>
      <w:r w:rsidR="005C6417">
        <w:rPr>
          <w:sz w:val="22"/>
          <w:szCs w:val="22"/>
        </w:rPr>
        <w:t xml:space="preserve"> </w:t>
      </w:r>
      <w:r w:rsidR="00D848B8">
        <w:rPr>
          <w:sz w:val="22"/>
          <w:szCs w:val="22"/>
        </w:rPr>
        <w:t xml:space="preserve">evidence </w:t>
      </w:r>
      <w:r w:rsidR="005C6417">
        <w:rPr>
          <w:sz w:val="22"/>
          <w:szCs w:val="22"/>
        </w:rPr>
        <w:t xml:space="preserve">the enhancement of practitioner understanding </w:t>
      </w:r>
      <w:r w:rsidR="00D848B8">
        <w:rPr>
          <w:sz w:val="22"/>
          <w:szCs w:val="22"/>
        </w:rPr>
        <w:t xml:space="preserve">which </w:t>
      </w:r>
      <w:r w:rsidR="005C6417">
        <w:rPr>
          <w:sz w:val="22"/>
          <w:szCs w:val="22"/>
        </w:rPr>
        <w:t xml:space="preserve">enabled </w:t>
      </w:r>
      <w:r w:rsidR="00B41243">
        <w:rPr>
          <w:sz w:val="22"/>
          <w:szCs w:val="22"/>
        </w:rPr>
        <w:t>higher level</w:t>
      </w:r>
      <w:r w:rsidR="005C6417">
        <w:rPr>
          <w:sz w:val="22"/>
          <w:szCs w:val="22"/>
        </w:rPr>
        <w:t>s</w:t>
      </w:r>
      <w:r w:rsidR="00B41243">
        <w:rPr>
          <w:sz w:val="22"/>
          <w:szCs w:val="22"/>
        </w:rPr>
        <w:t xml:space="preserve"> of confidence </w:t>
      </w:r>
      <w:r w:rsidR="004E0DB3">
        <w:rPr>
          <w:sz w:val="22"/>
          <w:szCs w:val="22"/>
        </w:rPr>
        <w:t xml:space="preserve">to embed </w:t>
      </w:r>
      <w:r w:rsidR="00452A6E">
        <w:rPr>
          <w:sz w:val="22"/>
          <w:szCs w:val="22"/>
        </w:rPr>
        <w:t xml:space="preserve">principles </w:t>
      </w:r>
      <w:r w:rsidR="005723AF">
        <w:rPr>
          <w:sz w:val="22"/>
          <w:szCs w:val="22"/>
        </w:rPr>
        <w:t>and integrate long-term thinking</w:t>
      </w:r>
      <w:r w:rsidR="002E0576">
        <w:rPr>
          <w:sz w:val="22"/>
          <w:szCs w:val="22"/>
        </w:rPr>
        <w:t xml:space="preserve"> into participants’ respective organisations. </w:t>
      </w:r>
    </w:p>
    <w:p w14:paraId="0C29C741" w14:textId="0C23843E" w:rsidR="00F37479" w:rsidRPr="00F37479" w:rsidRDefault="00F37479" w:rsidP="00F37479">
      <w:pPr>
        <w:pStyle w:val="xparagraph"/>
        <w:spacing w:after="0" w:afterAutospacing="0" w:line="360" w:lineRule="auto"/>
        <w:jc w:val="both"/>
        <w:textAlignment w:val="baseline"/>
        <w:rPr>
          <w:rFonts w:asciiTheme="minorHAnsi" w:hAnsiTheme="minorHAnsi" w:cstheme="minorHAnsi"/>
          <w:b/>
          <w:bCs/>
          <w:sz w:val="22"/>
          <w:szCs w:val="22"/>
        </w:rPr>
      </w:pPr>
      <w:r w:rsidRPr="00F37479">
        <w:rPr>
          <w:rStyle w:val="xnormaltextrun"/>
          <w:rFonts w:asciiTheme="minorHAnsi" w:hAnsiTheme="minorHAnsi" w:cstheme="minorHAnsi"/>
          <w:b/>
          <w:bCs/>
          <w:sz w:val="22"/>
          <w:szCs w:val="22"/>
        </w:rPr>
        <w:t xml:space="preserve">Discussion </w:t>
      </w:r>
    </w:p>
    <w:p w14:paraId="65A75EFD" w14:textId="6D2123E6" w:rsidR="00EF248E" w:rsidRPr="005C6417" w:rsidRDefault="005D6861" w:rsidP="00EF248E">
      <w:pPr>
        <w:spacing w:line="360" w:lineRule="auto"/>
        <w:rPr>
          <w:sz w:val="22"/>
          <w:szCs w:val="22"/>
        </w:rPr>
      </w:pPr>
      <w:r w:rsidRPr="005D6861">
        <w:rPr>
          <w:sz w:val="22"/>
          <w:szCs w:val="22"/>
        </w:rPr>
        <w:t xml:space="preserve">The findings echo those of </w:t>
      </w:r>
      <w:r w:rsidRPr="005D6861">
        <w:rPr>
          <w:rFonts w:eastAsia="Arial"/>
          <w:color w:val="222222"/>
          <w:sz w:val="22"/>
          <w:szCs w:val="22"/>
        </w:rPr>
        <w:t xml:space="preserve">Mishra et al. (2021) who suggest interventions that support inter-organisation </w:t>
      </w:r>
      <w:r w:rsidRPr="005D6861">
        <w:rPr>
          <w:rFonts w:eastAsia="Arial"/>
          <w:sz w:val="22"/>
          <w:szCs w:val="22"/>
        </w:rPr>
        <w:t xml:space="preserve">interaction, within a sector or a region, are most likely to accelerate the adoption of CE principles. </w:t>
      </w:r>
      <w:r w:rsidRPr="005D6861">
        <w:rPr>
          <w:rFonts w:eastAsia="Calibri"/>
          <w:color w:val="000000" w:themeColor="text1"/>
          <w:sz w:val="22"/>
          <w:szCs w:val="22"/>
        </w:rPr>
        <w:t xml:space="preserve">The value obtained by participants supports the contentions </w:t>
      </w:r>
      <w:r w:rsidRPr="000C304C">
        <w:rPr>
          <w:rFonts w:eastAsia="Calibri"/>
          <w:color w:val="000000" w:themeColor="text1"/>
          <w:sz w:val="22"/>
          <w:szCs w:val="22"/>
        </w:rPr>
        <w:t>of Brown et al., (2005)</w:t>
      </w:r>
      <w:r w:rsidRPr="005D6861">
        <w:rPr>
          <w:rFonts w:eastAsia="Calibri"/>
          <w:color w:val="000000" w:themeColor="text1"/>
          <w:sz w:val="22"/>
          <w:szCs w:val="22"/>
        </w:rPr>
        <w:t xml:space="preserve"> and Boje (2008) who highlight the importance of an ‘on-going narrative’ between practitioners to support their ability to implement concepts and understand themselves and their relationships with work </w:t>
      </w:r>
      <w:r w:rsidRPr="005776D8">
        <w:rPr>
          <w:rFonts w:eastAsia="Calibri"/>
          <w:sz w:val="22"/>
          <w:szCs w:val="22"/>
        </w:rPr>
        <w:t xml:space="preserve">practices.  </w:t>
      </w:r>
      <w:r w:rsidRPr="005776D8">
        <w:rPr>
          <w:sz w:val="22"/>
          <w:szCs w:val="22"/>
        </w:rPr>
        <w:t>The social learning pedagogical processes employed enabled practitioners to share ‘good practice’ which developed their understanding via mutual account giving (Mowles, 2011)</w:t>
      </w:r>
      <w:r w:rsidR="005C6417" w:rsidRPr="005776D8">
        <w:rPr>
          <w:sz w:val="22"/>
          <w:szCs w:val="22"/>
        </w:rPr>
        <w:t xml:space="preserve">.  The data is consistent with the assertions of </w:t>
      </w:r>
      <w:r w:rsidR="00EF248E" w:rsidRPr="005776D8">
        <w:rPr>
          <w:rFonts w:cstheme="minorHAnsi"/>
          <w:sz w:val="22"/>
          <w:szCs w:val="22"/>
        </w:rPr>
        <w:t>Hodgson and Reynolds (20</w:t>
      </w:r>
      <w:r w:rsidR="000B551F">
        <w:rPr>
          <w:rFonts w:cstheme="minorHAnsi"/>
          <w:sz w:val="22"/>
          <w:szCs w:val="22"/>
        </w:rPr>
        <w:t>10</w:t>
      </w:r>
      <w:r w:rsidR="00EF248E" w:rsidRPr="005776D8">
        <w:rPr>
          <w:rFonts w:cstheme="minorHAnsi"/>
          <w:sz w:val="22"/>
          <w:szCs w:val="22"/>
        </w:rPr>
        <w:t>)</w:t>
      </w:r>
      <w:r w:rsidR="005C6417" w:rsidRPr="005776D8">
        <w:rPr>
          <w:rFonts w:cstheme="minorHAnsi"/>
          <w:sz w:val="22"/>
          <w:szCs w:val="22"/>
        </w:rPr>
        <w:t xml:space="preserve"> that participative pedagogies that allow </w:t>
      </w:r>
      <w:r w:rsidR="00EF248E" w:rsidRPr="005776D8">
        <w:rPr>
          <w:rFonts w:cstheme="minorHAnsi"/>
          <w:sz w:val="22"/>
          <w:szCs w:val="22"/>
        </w:rPr>
        <w:t>learner</w:t>
      </w:r>
      <w:r w:rsidR="005C6417" w:rsidRPr="005776D8">
        <w:rPr>
          <w:rFonts w:cstheme="minorHAnsi"/>
          <w:sz w:val="22"/>
          <w:szCs w:val="22"/>
        </w:rPr>
        <w:t>s</w:t>
      </w:r>
      <w:r w:rsidR="00EF248E" w:rsidRPr="005776D8">
        <w:rPr>
          <w:rFonts w:cstheme="minorHAnsi"/>
          <w:sz w:val="22"/>
          <w:szCs w:val="22"/>
        </w:rPr>
        <w:t xml:space="preserve"> </w:t>
      </w:r>
      <w:r w:rsidR="005C6417" w:rsidRPr="005776D8">
        <w:rPr>
          <w:rFonts w:cstheme="minorHAnsi"/>
          <w:sz w:val="22"/>
          <w:szCs w:val="22"/>
        </w:rPr>
        <w:t xml:space="preserve">to </w:t>
      </w:r>
      <w:r w:rsidR="00EF248E" w:rsidRPr="005776D8">
        <w:rPr>
          <w:rFonts w:cstheme="minorHAnsi"/>
          <w:sz w:val="22"/>
          <w:szCs w:val="22"/>
        </w:rPr>
        <w:t>co-construct the ‘curriculum’ enable greater impact on the challenge</w:t>
      </w:r>
      <w:r w:rsidR="005776D8" w:rsidRPr="005776D8">
        <w:rPr>
          <w:rFonts w:cstheme="minorHAnsi"/>
          <w:sz w:val="22"/>
          <w:szCs w:val="22"/>
        </w:rPr>
        <w:t>s</w:t>
      </w:r>
      <w:r w:rsidR="00EF248E" w:rsidRPr="005776D8">
        <w:rPr>
          <w:rFonts w:cstheme="minorHAnsi"/>
          <w:sz w:val="22"/>
          <w:szCs w:val="22"/>
        </w:rPr>
        <w:t xml:space="preserve"> they face within the workplace. </w:t>
      </w:r>
      <w:r w:rsidR="005776D8" w:rsidRPr="005776D8">
        <w:rPr>
          <w:rFonts w:cstheme="minorHAnsi"/>
          <w:sz w:val="22"/>
          <w:szCs w:val="22"/>
        </w:rPr>
        <w:t xml:space="preserve">The study suggests the </w:t>
      </w:r>
      <w:r w:rsidR="00EF248E" w:rsidRPr="005776D8">
        <w:rPr>
          <w:rFonts w:cstheme="minorHAnsi"/>
          <w:sz w:val="22"/>
          <w:szCs w:val="22"/>
        </w:rPr>
        <w:t>collaborative and participative approach to learning</w:t>
      </w:r>
      <w:r w:rsidR="005776D8" w:rsidRPr="005776D8">
        <w:rPr>
          <w:rFonts w:cstheme="minorHAnsi"/>
          <w:sz w:val="22"/>
          <w:szCs w:val="22"/>
        </w:rPr>
        <w:t xml:space="preserve"> employed</w:t>
      </w:r>
      <w:r w:rsidR="00EF248E" w:rsidRPr="005776D8">
        <w:rPr>
          <w:rFonts w:cstheme="minorHAnsi"/>
          <w:sz w:val="22"/>
          <w:szCs w:val="22"/>
        </w:rPr>
        <w:t xml:space="preserve"> relies on the dialogical creation of meaning and construction of knowledge (Hodgson and Watland, 2004).  </w:t>
      </w:r>
      <w:r w:rsidR="005776D8" w:rsidRPr="005776D8">
        <w:rPr>
          <w:rFonts w:cstheme="minorHAnsi"/>
          <w:sz w:val="22"/>
          <w:szCs w:val="22"/>
        </w:rPr>
        <w:t xml:space="preserve">The study also presents evidence to suggest the pedagogical approach employed enabled </w:t>
      </w:r>
      <w:r w:rsidR="00EF248E" w:rsidRPr="005776D8">
        <w:rPr>
          <w:rFonts w:cstheme="minorHAnsi"/>
          <w:sz w:val="22"/>
          <w:szCs w:val="22"/>
        </w:rPr>
        <w:t>learn</w:t>
      </w:r>
      <w:r w:rsidR="005776D8" w:rsidRPr="005776D8">
        <w:rPr>
          <w:rFonts w:cstheme="minorHAnsi"/>
          <w:sz w:val="22"/>
          <w:szCs w:val="22"/>
        </w:rPr>
        <w:t xml:space="preserve">ers to </w:t>
      </w:r>
      <w:r w:rsidR="00EF248E" w:rsidRPr="005776D8">
        <w:rPr>
          <w:rFonts w:cstheme="minorHAnsi"/>
          <w:sz w:val="22"/>
          <w:szCs w:val="22"/>
        </w:rPr>
        <w:t>question</w:t>
      </w:r>
      <w:r w:rsidR="005776D8" w:rsidRPr="005776D8">
        <w:rPr>
          <w:rFonts w:cstheme="minorHAnsi"/>
          <w:sz w:val="22"/>
          <w:szCs w:val="22"/>
        </w:rPr>
        <w:t xml:space="preserve"> their </w:t>
      </w:r>
      <w:r w:rsidR="00EF248E" w:rsidRPr="005776D8">
        <w:rPr>
          <w:rFonts w:cstheme="minorHAnsi"/>
          <w:sz w:val="22"/>
          <w:szCs w:val="22"/>
        </w:rPr>
        <w:t>underlying assumptions and to restructure the way the learner sees the world and acts within it (Laros</w:t>
      </w:r>
      <w:r w:rsidR="00A12F1F">
        <w:rPr>
          <w:rFonts w:cstheme="minorHAnsi"/>
          <w:sz w:val="22"/>
          <w:szCs w:val="22"/>
        </w:rPr>
        <w:t xml:space="preserve"> et al.</w:t>
      </w:r>
      <w:r w:rsidR="00EF248E" w:rsidRPr="005776D8">
        <w:rPr>
          <w:rFonts w:cstheme="minorHAnsi"/>
          <w:sz w:val="22"/>
          <w:szCs w:val="22"/>
        </w:rPr>
        <w:t>, 2017). </w:t>
      </w:r>
    </w:p>
    <w:p w14:paraId="119DD88F" w14:textId="77777777" w:rsidR="004762CB" w:rsidRDefault="004762CB" w:rsidP="004219EB">
      <w:pPr>
        <w:spacing w:line="360" w:lineRule="auto"/>
        <w:rPr>
          <w:rFonts w:cstheme="minorHAnsi"/>
          <w:sz w:val="22"/>
          <w:szCs w:val="22"/>
        </w:rPr>
      </w:pPr>
    </w:p>
    <w:p w14:paraId="5AE55907" w14:textId="77777777" w:rsidR="00A63DAC" w:rsidRDefault="00A63DAC" w:rsidP="004219EB">
      <w:pPr>
        <w:spacing w:line="360" w:lineRule="auto"/>
        <w:rPr>
          <w:rFonts w:cstheme="minorHAnsi"/>
          <w:sz w:val="22"/>
          <w:szCs w:val="22"/>
        </w:rPr>
      </w:pPr>
    </w:p>
    <w:p w14:paraId="1CBD6117" w14:textId="77777777" w:rsidR="00A63DAC" w:rsidRPr="004219EB" w:rsidRDefault="00A63DAC" w:rsidP="004219EB">
      <w:pPr>
        <w:spacing w:line="360" w:lineRule="auto"/>
        <w:rPr>
          <w:rFonts w:cstheme="minorHAnsi"/>
          <w:sz w:val="22"/>
          <w:szCs w:val="22"/>
        </w:rPr>
      </w:pPr>
    </w:p>
    <w:p w14:paraId="6F89A0D7" w14:textId="77777777" w:rsidR="004762CB" w:rsidRPr="004219EB" w:rsidRDefault="004762CB" w:rsidP="004219EB">
      <w:pPr>
        <w:spacing w:line="360" w:lineRule="auto"/>
        <w:rPr>
          <w:rFonts w:cstheme="minorHAnsi"/>
          <w:sz w:val="22"/>
          <w:szCs w:val="22"/>
        </w:rPr>
      </w:pPr>
    </w:p>
    <w:p w14:paraId="2BF74116" w14:textId="31EDBFDF" w:rsidR="00B34C4C" w:rsidRPr="00B27378" w:rsidRDefault="00744D26" w:rsidP="00B27378">
      <w:pPr>
        <w:pStyle w:val="xparagraph"/>
        <w:spacing w:after="0" w:afterAutospacing="0" w:line="360" w:lineRule="auto"/>
        <w:jc w:val="both"/>
        <w:textAlignment w:val="baseline"/>
        <w:rPr>
          <w:rFonts w:asciiTheme="minorHAnsi" w:hAnsiTheme="minorHAnsi" w:cstheme="minorHAnsi"/>
          <w:b/>
          <w:bCs/>
          <w:sz w:val="22"/>
          <w:szCs w:val="22"/>
        </w:rPr>
      </w:pPr>
      <w:r w:rsidRPr="00F37479">
        <w:rPr>
          <w:rStyle w:val="xnormaltextrun"/>
          <w:rFonts w:asciiTheme="minorHAnsi" w:hAnsiTheme="minorHAnsi" w:cstheme="minorHAnsi"/>
          <w:b/>
          <w:bCs/>
          <w:sz w:val="22"/>
          <w:szCs w:val="22"/>
        </w:rPr>
        <w:lastRenderedPageBreak/>
        <w:t>References</w:t>
      </w:r>
      <w:r w:rsidRPr="00F37479">
        <w:rPr>
          <w:rStyle w:val="xeop"/>
          <w:rFonts w:asciiTheme="minorHAnsi" w:hAnsiTheme="minorHAnsi" w:cstheme="minorHAnsi"/>
          <w:b/>
          <w:bCs/>
          <w:sz w:val="22"/>
          <w:szCs w:val="22"/>
        </w:rPr>
        <w:t> </w:t>
      </w:r>
    </w:p>
    <w:p w14:paraId="5C6FB926" w14:textId="0698242A" w:rsidR="00B27378" w:rsidRPr="00AA4F47" w:rsidRDefault="00B27378" w:rsidP="00B27378">
      <w:pPr>
        <w:rPr>
          <w:rFonts w:cstheme="minorHAnsi"/>
          <w:color w:val="0563C1" w:themeColor="hyperlink"/>
          <w:sz w:val="20"/>
          <w:szCs w:val="20"/>
          <w:u w:val="single"/>
        </w:rPr>
      </w:pPr>
      <w:r w:rsidRPr="00AA4F47">
        <w:rPr>
          <w:rFonts w:cstheme="minorHAnsi"/>
          <w:sz w:val="20"/>
          <w:szCs w:val="20"/>
        </w:rPr>
        <w:t xml:space="preserve">Arundel, A., Bloch, C., &amp; Ferguson, B. (2019) Advancing innovation in the public sector: Aligning innovation measurement with policy goals. </w:t>
      </w:r>
      <w:r w:rsidRPr="00AA4F47">
        <w:rPr>
          <w:rFonts w:cstheme="minorHAnsi"/>
          <w:i/>
          <w:iCs/>
          <w:sz w:val="20"/>
          <w:szCs w:val="20"/>
        </w:rPr>
        <w:t>Research Policy, 48</w:t>
      </w:r>
      <w:r w:rsidRPr="00AA4F47">
        <w:rPr>
          <w:rFonts w:cstheme="minorHAnsi"/>
          <w:sz w:val="20"/>
          <w:szCs w:val="20"/>
        </w:rPr>
        <w:t>, 789-798.</w:t>
      </w:r>
      <w:hyperlink r:id="rId16" w:history="1">
        <w:r w:rsidRPr="00AA4F47">
          <w:rPr>
            <w:rFonts w:cstheme="minorHAnsi"/>
            <w:sz w:val="20"/>
            <w:szCs w:val="20"/>
          </w:rPr>
          <w:t xml:space="preserve"> </w:t>
        </w:r>
      </w:hyperlink>
    </w:p>
    <w:p w14:paraId="72BCA2ED" w14:textId="53897C3B" w:rsidR="00F37479" w:rsidRPr="00AA4F47" w:rsidRDefault="00F37479" w:rsidP="00F37479">
      <w:pPr>
        <w:pStyle w:val="Reference"/>
        <w:spacing w:line="240" w:lineRule="auto"/>
        <w:rPr>
          <w:rFonts w:asciiTheme="minorHAnsi" w:eastAsia="Calibri" w:hAnsiTheme="minorHAnsi" w:cstheme="minorHAnsi"/>
          <w:szCs w:val="20"/>
          <w:shd w:val="clear" w:color="auto" w:fill="FCFCFC"/>
        </w:rPr>
      </w:pPr>
      <w:r w:rsidRPr="00AA4F47">
        <w:rPr>
          <w:rFonts w:asciiTheme="minorHAnsi" w:eastAsia="Calibri" w:hAnsiTheme="minorHAnsi" w:cstheme="minorHAnsi"/>
          <w:szCs w:val="20"/>
          <w:shd w:val="clear" w:color="auto" w:fill="FCFCFC"/>
        </w:rPr>
        <w:t xml:space="preserve">Boje, D. (2008) </w:t>
      </w:r>
      <w:r w:rsidRPr="00AA4F47">
        <w:rPr>
          <w:rFonts w:asciiTheme="minorHAnsi" w:eastAsia="Calibri" w:hAnsiTheme="minorHAnsi" w:cstheme="minorHAnsi"/>
          <w:i/>
          <w:szCs w:val="20"/>
          <w:shd w:val="clear" w:color="auto" w:fill="FCFCFC"/>
        </w:rPr>
        <w:t xml:space="preserve">Storytelling Organizations. </w:t>
      </w:r>
      <w:proofErr w:type="spellStart"/>
      <w:proofErr w:type="gramStart"/>
      <w:r w:rsidRPr="00AA4F47">
        <w:rPr>
          <w:rFonts w:asciiTheme="minorHAnsi" w:eastAsia="Calibri" w:hAnsiTheme="minorHAnsi" w:cstheme="minorHAnsi"/>
          <w:szCs w:val="20"/>
          <w:shd w:val="clear" w:color="auto" w:fill="FCFCFC"/>
        </w:rPr>
        <w:t>London:Sage</w:t>
      </w:r>
      <w:proofErr w:type="spellEnd"/>
      <w:proofErr w:type="gramEnd"/>
      <w:r w:rsidRPr="00AA4F47">
        <w:rPr>
          <w:rFonts w:asciiTheme="minorHAnsi" w:eastAsia="Calibri" w:hAnsiTheme="minorHAnsi" w:cstheme="minorHAnsi"/>
          <w:szCs w:val="20"/>
          <w:shd w:val="clear" w:color="auto" w:fill="FCFCFC"/>
        </w:rPr>
        <w:t>.</w:t>
      </w:r>
    </w:p>
    <w:p w14:paraId="0FA812FB" w14:textId="2E374028" w:rsidR="009F3D67" w:rsidRPr="00AA4F47" w:rsidRDefault="009F3D67" w:rsidP="00F37479">
      <w:pPr>
        <w:pStyle w:val="Reference"/>
        <w:spacing w:line="240" w:lineRule="auto"/>
        <w:rPr>
          <w:rFonts w:asciiTheme="minorHAnsi" w:eastAsia="Calibri" w:hAnsiTheme="minorHAnsi" w:cstheme="minorHAnsi"/>
          <w:szCs w:val="20"/>
          <w:shd w:val="clear" w:color="auto" w:fill="FCFCFC"/>
        </w:rPr>
      </w:pPr>
      <w:r w:rsidRPr="009F3D67">
        <w:rPr>
          <w:rFonts w:asciiTheme="minorHAnsi" w:eastAsia="Calibri" w:hAnsiTheme="minorHAnsi" w:cstheme="minorHAnsi"/>
          <w:szCs w:val="20"/>
          <w:shd w:val="clear" w:color="auto" w:fill="FCFCFC"/>
        </w:rPr>
        <w:t>Brown, M. E., Treviño, L. K., &amp; Harrison, D. A. (2005). Ethical leadership: A social learning perspective for construct development and testing. </w:t>
      </w:r>
      <w:r w:rsidRPr="009F3D67">
        <w:rPr>
          <w:rFonts w:asciiTheme="minorHAnsi" w:eastAsia="Calibri" w:hAnsiTheme="minorHAnsi" w:cstheme="minorHAnsi"/>
          <w:i/>
          <w:iCs/>
          <w:szCs w:val="20"/>
          <w:shd w:val="clear" w:color="auto" w:fill="FCFCFC"/>
        </w:rPr>
        <w:t xml:space="preserve">Organizational </w:t>
      </w:r>
      <w:proofErr w:type="spellStart"/>
      <w:r w:rsidRPr="009F3D67">
        <w:rPr>
          <w:rFonts w:asciiTheme="minorHAnsi" w:eastAsia="Calibri" w:hAnsiTheme="minorHAnsi" w:cstheme="minorHAnsi"/>
          <w:i/>
          <w:iCs/>
          <w:szCs w:val="20"/>
          <w:shd w:val="clear" w:color="auto" w:fill="FCFCFC"/>
        </w:rPr>
        <w:t>behavior</w:t>
      </w:r>
      <w:proofErr w:type="spellEnd"/>
      <w:r w:rsidRPr="009F3D67">
        <w:rPr>
          <w:rFonts w:asciiTheme="minorHAnsi" w:eastAsia="Calibri" w:hAnsiTheme="minorHAnsi" w:cstheme="minorHAnsi"/>
          <w:i/>
          <w:iCs/>
          <w:szCs w:val="20"/>
          <w:shd w:val="clear" w:color="auto" w:fill="FCFCFC"/>
        </w:rPr>
        <w:t xml:space="preserve"> and human decision processes</w:t>
      </w:r>
      <w:r w:rsidRPr="009F3D67">
        <w:rPr>
          <w:rFonts w:asciiTheme="minorHAnsi" w:eastAsia="Calibri" w:hAnsiTheme="minorHAnsi" w:cstheme="minorHAnsi"/>
          <w:szCs w:val="20"/>
          <w:shd w:val="clear" w:color="auto" w:fill="FCFCFC"/>
        </w:rPr>
        <w:t>, </w:t>
      </w:r>
      <w:r w:rsidRPr="009F3D67">
        <w:rPr>
          <w:rFonts w:asciiTheme="minorHAnsi" w:eastAsia="Calibri" w:hAnsiTheme="minorHAnsi" w:cstheme="minorHAnsi"/>
          <w:i/>
          <w:iCs/>
          <w:szCs w:val="20"/>
          <w:shd w:val="clear" w:color="auto" w:fill="FCFCFC"/>
        </w:rPr>
        <w:t>97</w:t>
      </w:r>
      <w:r w:rsidRPr="009F3D67">
        <w:rPr>
          <w:rFonts w:asciiTheme="minorHAnsi" w:eastAsia="Calibri" w:hAnsiTheme="minorHAnsi" w:cstheme="minorHAnsi"/>
          <w:szCs w:val="20"/>
          <w:shd w:val="clear" w:color="auto" w:fill="FCFCFC"/>
        </w:rPr>
        <w:t>(2), 117-134.</w:t>
      </w:r>
    </w:p>
    <w:p w14:paraId="58232EBB" w14:textId="083FA3C7" w:rsidR="00243656" w:rsidRPr="00AA4F47" w:rsidRDefault="00243656" w:rsidP="00F37479">
      <w:pPr>
        <w:pStyle w:val="Reference"/>
        <w:spacing w:line="240" w:lineRule="auto"/>
        <w:rPr>
          <w:rFonts w:asciiTheme="minorHAnsi" w:eastAsia="Calibri" w:hAnsiTheme="minorHAnsi" w:cstheme="minorHAnsi"/>
          <w:szCs w:val="20"/>
          <w:shd w:val="clear" w:color="auto" w:fill="FCFCFC"/>
        </w:rPr>
      </w:pPr>
      <w:r w:rsidRPr="00AA4F47">
        <w:rPr>
          <w:rFonts w:asciiTheme="minorHAnsi" w:eastAsia="Calibri" w:hAnsiTheme="minorHAnsi" w:cstheme="minorHAnsi"/>
          <w:szCs w:val="20"/>
          <w:shd w:val="clear" w:color="auto" w:fill="FCFCFC"/>
        </w:rPr>
        <w:t>Carr, W., &amp; Kemmis, S. (2003). Becoming critical: education knowledge and action research. Routledge.</w:t>
      </w:r>
    </w:p>
    <w:p w14:paraId="592BBEEE" w14:textId="77777777" w:rsidR="00E13B81" w:rsidRPr="00AA4F47" w:rsidRDefault="00E13B81" w:rsidP="00E13B81">
      <w:pPr>
        <w:rPr>
          <w:rFonts w:cstheme="minorHAnsi"/>
          <w:sz w:val="20"/>
          <w:szCs w:val="20"/>
          <w:shd w:val="clear" w:color="auto" w:fill="FFFFFF"/>
        </w:rPr>
      </w:pPr>
      <w:r w:rsidRPr="00AA4F47">
        <w:rPr>
          <w:rFonts w:cstheme="minorHAnsi"/>
          <w:sz w:val="20"/>
          <w:szCs w:val="20"/>
          <w:shd w:val="clear" w:color="auto" w:fill="FFFFFF"/>
        </w:rPr>
        <w:t>Hodgson, V. and Reynolds, M. (2010) “Learning, teaching and assessment in networked learning”, paper presented at the 7th Networked Learning Conference, 2010, Aalborg, Denmark.</w:t>
      </w:r>
    </w:p>
    <w:p w14:paraId="7EF90BFC" w14:textId="77777777" w:rsidR="000E1660" w:rsidRPr="00AA4F47" w:rsidRDefault="000E1660" w:rsidP="000E1660">
      <w:pPr>
        <w:rPr>
          <w:rFonts w:cstheme="minorHAnsi"/>
          <w:sz w:val="20"/>
          <w:szCs w:val="20"/>
          <w:shd w:val="clear" w:color="auto" w:fill="FFFFFF"/>
        </w:rPr>
      </w:pPr>
    </w:p>
    <w:p w14:paraId="691EAEFB" w14:textId="534F9B62" w:rsidR="00E13B81" w:rsidRPr="00AA4F47" w:rsidRDefault="000E1660" w:rsidP="000E1660">
      <w:pPr>
        <w:rPr>
          <w:rFonts w:cstheme="minorHAnsi"/>
          <w:sz w:val="20"/>
          <w:szCs w:val="20"/>
        </w:rPr>
      </w:pPr>
      <w:r w:rsidRPr="00AA4F47">
        <w:rPr>
          <w:rFonts w:cstheme="minorHAnsi"/>
          <w:sz w:val="20"/>
          <w:szCs w:val="20"/>
          <w:shd w:val="clear" w:color="auto" w:fill="FFFFFF"/>
        </w:rPr>
        <w:t xml:space="preserve">Hodgson, </w:t>
      </w:r>
      <w:proofErr w:type="gramStart"/>
      <w:r w:rsidRPr="00AA4F47">
        <w:rPr>
          <w:rFonts w:cstheme="minorHAnsi"/>
          <w:sz w:val="20"/>
          <w:szCs w:val="20"/>
          <w:shd w:val="clear" w:color="auto" w:fill="FFFFFF"/>
        </w:rPr>
        <w:t>V.</w:t>
      </w:r>
      <w:proofErr w:type="gramEnd"/>
      <w:r w:rsidRPr="00AA4F47">
        <w:rPr>
          <w:rFonts w:cstheme="minorHAnsi"/>
          <w:sz w:val="20"/>
          <w:szCs w:val="20"/>
          <w:shd w:val="clear" w:color="auto" w:fill="FFFFFF"/>
        </w:rPr>
        <w:t xml:space="preserve"> and Watland P. A. (2004), “Researching networked management learning”, </w:t>
      </w:r>
      <w:r w:rsidRPr="00AA4F47">
        <w:rPr>
          <w:rFonts w:cstheme="minorHAnsi"/>
          <w:i/>
          <w:color w:val="000000"/>
          <w:sz w:val="20"/>
          <w:szCs w:val="20"/>
        </w:rPr>
        <w:t>Management Learning</w:t>
      </w:r>
      <w:r w:rsidRPr="00AA4F47">
        <w:rPr>
          <w:rFonts w:cstheme="minorHAnsi"/>
          <w:color w:val="000000"/>
          <w:sz w:val="20"/>
          <w:szCs w:val="20"/>
        </w:rPr>
        <w:t>, 35 (2), pp 99-116.</w:t>
      </w:r>
    </w:p>
    <w:p w14:paraId="30057F53" w14:textId="1FBEB5D6" w:rsidR="00B31A68" w:rsidRPr="00AA4F47" w:rsidRDefault="00B31A68" w:rsidP="00B34C4C">
      <w:pPr>
        <w:spacing w:line="360" w:lineRule="auto"/>
        <w:rPr>
          <w:rFonts w:cstheme="minorHAnsi"/>
          <w:sz w:val="20"/>
          <w:szCs w:val="20"/>
        </w:rPr>
      </w:pPr>
    </w:p>
    <w:p w14:paraId="338C34A7" w14:textId="1DF01EC4" w:rsidR="00B31A68" w:rsidRPr="00AA4F47" w:rsidRDefault="00B31A68" w:rsidP="00AA4F47">
      <w:pPr>
        <w:rPr>
          <w:rFonts w:cstheme="minorHAnsi"/>
          <w:sz w:val="20"/>
          <w:szCs w:val="20"/>
        </w:rPr>
      </w:pPr>
      <w:r w:rsidRPr="00AA4F47">
        <w:rPr>
          <w:rFonts w:cstheme="minorHAnsi"/>
          <w:sz w:val="20"/>
          <w:szCs w:val="20"/>
          <w:shd w:val="clear" w:color="auto" w:fill="FFFFFF"/>
        </w:rPr>
        <w:t xml:space="preserve">Laros, A., Fuhr, T., and Taylor, E.W. (2017). </w:t>
      </w:r>
      <w:r w:rsidRPr="00AA4F47">
        <w:rPr>
          <w:rFonts w:cstheme="minorHAnsi"/>
          <w:i/>
          <w:iCs/>
          <w:sz w:val="20"/>
          <w:szCs w:val="20"/>
          <w:shd w:val="clear" w:color="auto" w:fill="FFFFFF"/>
        </w:rPr>
        <w:t xml:space="preserve">Transformative learning meets </w:t>
      </w:r>
      <w:proofErr w:type="spellStart"/>
      <w:r w:rsidRPr="00AA4F47">
        <w:rPr>
          <w:rFonts w:cstheme="minorHAnsi"/>
          <w:i/>
          <w:iCs/>
          <w:sz w:val="20"/>
          <w:szCs w:val="20"/>
          <w:shd w:val="clear" w:color="auto" w:fill="FFFFFF"/>
        </w:rPr>
        <w:t>Bildung</w:t>
      </w:r>
      <w:proofErr w:type="spellEnd"/>
      <w:r w:rsidRPr="00AA4F47">
        <w:rPr>
          <w:rFonts w:cstheme="minorHAnsi"/>
          <w:i/>
          <w:iCs/>
          <w:sz w:val="20"/>
          <w:szCs w:val="20"/>
          <w:shd w:val="clear" w:color="auto" w:fill="FFFFFF"/>
        </w:rPr>
        <w:t>: An international exchange.</w:t>
      </w:r>
      <w:r w:rsidRPr="00AA4F47">
        <w:rPr>
          <w:rFonts w:cstheme="minorHAnsi"/>
          <w:sz w:val="20"/>
          <w:szCs w:val="20"/>
          <w:shd w:val="clear" w:color="auto" w:fill="FFFFFF"/>
        </w:rPr>
        <w:t xml:space="preserve"> Rotterdam: Sense Publishers.</w:t>
      </w:r>
    </w:p>
    <w:p w14:paraId="22AF2F93" w14:textId="77777777" w:rsidR="00F37479" w:rsidRPr="00AA4F47" w:rsidRDefault="00F37479" w:rsidP="00F37479">
      <w:pPr>
        <w:pStyle w:val="Reference"/>
        <w:spacing w:line="240" w:lineRule="auto"/>
        <w:rPr>
          <w:rFonts w:asciiTheme="minorHAnsi" w:hAnsiTheme="minorHAnsi" w:cstheme="minorHAnsi"/>
          <w:szCs w:val="20"/>
        </w:rPr>
      </w:pPr>
      <w:r w:rsidRPr="00AA4F47">
        <w:rPr>
          <w:rFonts w:asciiTheme="minorHAnsi" w:hAnsiTheme="minorHAnsi" w:cstheme="minorHAnsi"/>
          <w:szCs w:val="20"/>
        </w:rPr>
        <w:t xml:space="preserve">Mishra, J.L., Chiwenga, K.D. and Ali, K. (2021) ‘Collaboration as an enabler for circular economy: a case study of a developing country’, </w:t>
      </w:r>
      <w:r w:rsidRPr="00AA4F47">
        <w:rPr>
          <w:rFonts w:asciiTheme="minorHAnsi" w:hAnsiTheme="minorHAnsi" w:cstheme="minorHAnsi"/>
          <w:i/>
          <w:iCs/>
          <w:szCs w:val="20"/>
        </w:rPr>
        <w:t>Management decision</w:t>
      </w:r>
      <w:r w:rsidRPr="00AA4F47">
        <w:rPr>
          <w:rFonts w:asciiTheme="minorHAnsi" w:hAnsiTheme="minorHAnsi" w:cstheme="minorHAnsi"/>
          <w:szCs w:val="20"/>
        </w:rPr>
        <w:t xml:space="preserve">, 59(8), pp. 1784–1800. Available at: </w:t>
      </w:r>
      <w:hyperlink r:id="rId17" w:history="1">
        <w:r w:rsidRPr="00AA4F47">
          <w:rPr>
            <w:rStyle w:val="Hyperlink"/>
            <w:rFonts w:asciiTheme="minorHAnsi" w:eastAsiaTheme="majorEastAsia" w:hAnsiTheme="minorHAnsi" w:cstheme="minorHAnsi"/>
            <w:szCs w:val="20"/>
          </w:rPr>
          <w:t>https://doi.org/10.1108/MD-10-2018-1111</w:t>
        </w:r>
      </w:hyperlink>
      <w:r w:rsidRPr="00AA4F47">
        <w:rPr>
          <w:rFonts w:asciiTheme="minorHAnsi" w:hAnsiTheme="minorHAnsi" w:cstheme="minorHAnsi"/>
          <w:szCs w:val="20"/>
        </w:rPr>
        <w:t xml:space="preserve">. </w:t>
      </w:r>
    </w:p>
    <w:p w14:paraId="35C0CEEE" w14:textId="77777777" w:rsidR="00F37479" w:rsidRPr="00AA4F47" w:rsidRDefault="00F37479" w:rsidP="00F37479">
      <w:pPr>
        <w:pStyle w:val="Reference"/>
        <w:spacing w:line="240" w:lineRule="auto"/>
        <w:rPr>
          <w:rFonts w:asciiTheme="minorHAnsi" w:eastAsia="Calibri" w:hAnsiTheme="minorHAnsi" w:cstheme="minorHAnsi"/>
          <w:szCs w:val="20"/>
        </w:rPr>
      </w:pPr>
      <w:r w:rsidRPr="00AA4F47">
        <w:rPr>
          <w:rFonts w:asciiTheme="minorHAnsi" w:eastAsia="Calibri" w:hAnsiTheme="minorHAnsi" w:cstheme="minorHAnsi"/>
          <w:szCs w:val="20"/>
        </w:rPr>
        <w:t xml:space="preserve">Mowles, C. (2011) </w:t>
      </w:r>
      <w:r w:rsidRPr="00AA4F47">
        <w:rPr>
          <w:rFonts w:asciiTheme="minorHAnsi" w:eastAsia="Calibri" w:hAnsiTheme="minorHAnsi" w:cstheme="minorHAnsi"/>
          <w:i/>
          <w:szCs w:val="20"/>
        </w:rPr>
        <w:t>Rethinking Management: Radical Insights from the Complexity Sciences</w:t>
      </w:r>
      <w:r w:rsidRPr="00AA4F47">
        <w:rPr>
          <w:rFonts w:asciiTheme="minorHAnsi" w:eastAsia="Calibri" w:hAnsiTheme="minorHAnsi" w:cstheme="minorHAnsi"/>
          <w:szCs w:val="20"/>
        </w:rPr>
        <w:t xml:space="preserve">, </w:t>
      </w:r>
      <w:proofErr w:type="spellStart"/>
      <w:proofErr w:type="gramStart"/>
      <w:r w:rsidRPr="00AA4F47">
        <w:rPr>
          <w:rFonts w:asciiTheme="minorHAnsi" w:eastAsia="Calibri" w:hAnsiTheme="minorHAnsi" w:cstheme="minorHAnsi"/>
          <w:szCs w:val="20"/>
        </w:rPr>
        <w:t>London:Routledge</w:t>
      </w:r>
      <w:proofErr w:type="spellEnd"/>
      <w:proofErr w:type="gramEnd"/>
    </w:p>
    <w:p w14:paraId="1FDFAF7C" w14:textId="1C3980C1" w:rsidR="00FE1520" w:rsidRPr="00AA4F47" w:rsidRDefault="00FE1520" w:rsidP="00F37479">
      <w:pPr>
        <w:pStyle w:val="Reference"/>
        <w:spacing w:line="240" w:lineRule="auto"/>
        <w:rPr>
          <w:rFonts w:asciiTheme="minorHAnsi" w:eastAsia="Calibri" w:hAnsiTheme="minorHAnsi" w:cstheme="minorHAnsi"/>
          <w:szCs w:val="20"/>
        </w:rPr>
      </w:pPr>
      <w:r w:rsidRPr="00AA4F47">
        <w:rPr>
          <w:rFonts w:asciiTheme="minorHAnsi" w:eastAsia="Calibri" w:hAnsiTheme="minorHAnsi" w:cstheme="minorHAnsi"/>
          <w:szCs w:val="20"/>
        </w:rPr>
        <w:t>Nonaka, I. and Takeuchi, H. (1995) The Knowledge-Creating Company: How Japanese Companies Create the Dynamics of Innovation. Oxford University Press, New York.</w:t>
      </w:r>
    </w:p>
    <w:p w14:paraId="1C9D0C3E" w14:textId="5EBE3801" w:rsidR="00B34C4C" w:rsidRPr="00AA4F47" w:rsidRDefault="00B34C4C" w:rsidP="00F37479">
      <w:pPr>
        <w:pStyle w:val="Reference"/>
        <w:spacing w:line="240" w:lineRule="auto"/>
        <w:rPr>
          <w:rFonts w:asciiTheme="minorHAnsi" w:eastAsia="Calibri" w:hAnsiTheme="minorHAnsi" w:cstheme="minorHAnsi"/>
          <w:szCs w:val="20"/>
        </w:rPr>
      </w:pPr>
      <w:r w:rsidRPr="00AA4F47">
        <w:rPr>
          <w:rFonts w:asciiTheme="minorHAnsi" w:eastAsia="Calibri" w:hAnsiTheme="minorHAnsi" w:cstheme="minorHAnsi"/>
          <w:szCs w:val="20"/>
        </w:rPr>
        <w:t>Walpole</w:t>
      </w:r>
      <w:r w:rsidR="00621776" w:rsidRPr="00AA4F47">
        <w:rPr>
          <w:rFonts w:asciiTheme="minorHAnsi" w:eastAsia="Calibri" w:hAnsiTheme="minorHAnsi" w:cstheme="minorHAnsi"/>
          <w:szCs w:val="20"/>
        </w:rPr>
        <w:t>, G.</w:t>
      </w:r>
      <w:r w:rsidR="004140E8" w:rsidRPr="00AA4F47">
        <w:rPr>
          <w:rFonts w:asciiTheme="minorHAnsi" w:eastAsia="Calibri" w:hAnsiTheme="minorHAnsi" w:cstheme="minorHAnsi"/>
          <w:szCs w:val="20"/>
        </w:rPr>
        <w:t>,</w:t>
      </w:r>
      <w:r w:rsidR="005F66CB" w:rsidRPr="00AA4F47">
        <w:rPr>
          <w:rFonts w:asciiTheme="minorHAnsi" w:eastAsia="Calibri" w:hAnsiTheme="minorHAnsi" w:cstheme="minorHAnsi"/>
          <w:szCs w:val="20"/>
        </w:rPr>
        <w:t xml:space="preserve"> Clifton, N., Rich, N., </w:t>
      </w:r>
      <w:r w:rsidR="00450146" w:rsidRPr="00AA4F47">
        <w:rPr>
          <w:rFonts w:asciiTheme="minorHAnsi" w:eastAsia="Calibri" w:hAnsiTheme="minorHAnsi" w:cstheme="minorHAnsi"/>
          <w:szCs w:val="20"/>
        </w:rPr>
        <w:t xml:space="preserve">Bacon, E., Smith, S., McKeown, M., Manley, J., Renfrew, K., </w:t>
      </w:r>
      <w:r w:rsidR="00862EE3" w:rsidRPr="00AA4F47">
        <w:rPr>
          <w:rFonts w:asciiTheme="minorHAnsi" w:eastAsia="Calibri" w:hAnsiTheme="minorHAnsi" w:cstheme="minorHAnsi"/>
          <w:szCs w:val="20"/>
        </w:rPr>
        <w:t xml:space="preserve">Zheng, L., Treadwell, P., Kyaw, S. (2023) </w:t>
      </w:r>
      <w:r w:rsidR="00EF72CE" w:rsidRPr="00AA4F47">
        <w:rPr>
          <w:rFonts w:asciiTheme="minorHAnsi" w:eastAsia="Calibri" w:hAnsiTheme="minorHAnsi" w:cstheme="minorHAnsi"/>
          <w:szCs w:val="20"/>
        </w:rPr>
        <w:t>‘</w:t>
      </w:r>
      <w:r w:rsidR="00862EE3" w:rsidRPr="00AA4F47">
        <w:rPr>
          <w:rFonts w:asciiTheme="minorHAnsi" w:eastAsia="Calibri" w:hAnsiTheme="minorHAnsi" w:cstheme="minorHAnsi"/>
          <w:szCs w:val="20"/>
        </w:rPr>
        <w:t>A Scoping and Feasibility Study for a new Foundational Economy Academy in Wales</w:t>
      </w:r>
      <w:r w:rsidR="00EF72CE" w:rsidRPr="00AA4F47">
        <w:rPr>
          <w:rFonts w:asciiTheme="minorHAnsi" w:eastAsia="Calibri" w:hAnsiTheme="minorHAnsi" w:cstheme="minorHAnsi"/>
          <w:szCs w:val="20"/>
        </w:rPr>
        <w:t>’</w:t>
      </w:r>
      <w:r w:rsidR="00AA69FB" w:rsidRPr="00AA4F47">
        <w:rPr>
          <w:rFonts w:asciiTheme="minorHAnsi" w:eastAsia="Calibri" w:hAnsiTheme="minorHAnsi" w:cstheme="minorHAnsi"/>
          <w:szCs w:val="20"/>
        </w:rPr>
        <w:t xml:space="preserve">. </w:t>
      </w:r>
      <w:r w:rsidR="00AA69FB" w:rsidRPr="00AA4F47">
        <w:rPr>
          <w:rFonts w:asciiTheme="minorHAnsi" w:eastAsia="Calibri" w:hAnsiTheme="minorHAnsi" w:cstheme="minorHAnsi"/>
          <w:i/>
          <w:iCs/>
          <w:szCs w:val="20"/>
        </w:rPr>
        <w:t>Welsh Government</w:t>
      </w:r>
      <w:r w:rsidR="00AA69FB" w:rsidRPr="00AA4F47">
        <w:rPr>
          <w:rFonts w:asciiTheme="minorHAnsi" w:eastAsia="Calibri" w:hAnsiTheme="minorHAnsi" w:cstheme="minorHAnsi"/>
          <w:szCs w:val="20"/>
        </w:rPr>
        <w:t xml:space="preserve">. Available at: </w:t>
      </w:r>
      <w:hyperlink r:id="rId18" w:history="1">
        <w:r w:rsidR="00E21551" w:rsidRPr="00AA4F47">
          <w:rPr>
            <w:rStyle w:val="Hyperlink"/>
            <w:rFonts w:asciiTheme="minorHAnsi" w:eastAsia="Calibri" w:hAnsiTheme="minorHAnsi" w:cstheme="minorHAnsi"/>
            <w:szCs w:val="20"/>
          </w:rPr>
          <w:t>https://www.gov.wales/new-foundational-economy-academy-wales-scoping-and-feasibility-study</w:t>
        </w:r>
      </w:hyperlink>
      <w:r w:rsidR="00E21551" w:rsidRPr="00AA4F47">
        <w:rPr>
          <w:rFonts w:asciiTheme="minorHAnsi" w:eastAsia="Calibri" w:hAnsiTheme="minorHAnsi" w:cstheme="minorHAnsi"/>
          <w:szCs w:val="20"/>
        </w:rPr>
        <w:t xml:space="preserve"> </w:t>
      </w:r>
    </w:p>
    <w:p w14:paraId="61EE1321" w14:textId="77777777" w:rsidR="00F37479" w:rsidRPr="00AA4F47" w:rsidRDefault="00F37479" w:rsidP="00F37479">
      <w:pPr>
        <w:pStyle w:val="Reference"/>
        <w:spacing w:line="240" w:lineRule="auto"/>
        <w:rPr>
          <w:rFonts w:asciiTheme="minorHAnsi" w:eastAsia="Arial" w:hAnsiTheme="minorHAnsi" w:cstheme="minorHAnsi"/>
          <w:szCs w:val="20"/>
        </w:rPr>
      </w:pPr>
      <w:r w:rsidRPr="00AA4F47">
        <w:rPr>
          <w:rFonts w:asciiTheme="minorHAnsi" w:eastAsia="Arial" w:hAnsiTheme="minorHAnsi" w:cstheme="minorHAnsi"/>
          <w:szCs w:val="20"/>
        </w:rPr>
        <w:t>Webster, K. (2007) Hidden sources: Understanding natural systems is the key to an evolving and aspirational ESD. </w:t>
      </w:r>
      <w:r w:rsidRPr="00AA4F47">
        <w:rPr>
          <w:rFonts w:asciiTheme="minorHAnsi" w:eastAsia="Arial" w:hAnsiTheme="minorHAnsi" w:cstheme="minorHAnsi"/>
          <w:i/>
          <w:iCs/>
          <w:szCs w:val="20"/>
        </w:rPr>
        <w:t>Journal of Education for Sustainable Development</w:t>
      </w:r>
      <w:r w:rsidRPr="00AA4F47">
        <w:rPr>
          <w:rFonts w:asciiTheme="minorHAnsi" w:eastAsia="Arial" w:hAnsiTheme="minorHAnsi" w:cstheme="minorHAnsi"/>
          <w:szCs w:val="20"/>
        </w:rPr>
        <w:t>, 1(1), pp.37-43</w:t>
      </w:r>
    </w:p>
    <w:p w14:paraId="17A526DD" w14:textId="19420EE6" w:rsidR="00B34C4C" w:rsidRPr="00AA4F47" w:rsidRDefault="000A2BF4" w:rsidP="00F37479">
      <w:pPr>
        <w:pStyle w:val="Reference"/>
        <w:spacing w:line="240" w:lineRule="auto"/>
        <w:rPr>
          <w:rFonts w:asciiTheme="minorHAnsi" w:eastAsia="Arial" w:hAnsiTheme="minorHAnsi" w:cstheme="minorHAnsi"/>
          <w:szCs w:val="20"/>
        </w:rPr>
      </w:pPr>
      <w:r>
        <w:rPr>
          <w:rFonts w:asciiTheme="minorHAnsi" w:eastAsia="Arial" w:hAnsiTheme="minorHAnsi" w:cstheme="minorHAnsi"/>
          <w:szCs w:val="20"/>
        </w:rPr>
        <w:t>Wales Centre for Public Policy (2023) Wales Centre for Public Policy at 10</w:t>
      </w:r>
      <w:r w:rsidR="00A1347F">
        <w:rPr>
          <w:rFonts w:asciiTheme="minorHAnsi" w:eastAsia="Arial" w:hAnsiTheme="minorHAnsi" w:cstheme="minorHAnsi"/>
          <w:szCs w:val="20"/>
        </w:rPr>
        <w:t xml:space="preserve">. Available at: </w:t>
      </w:r>
      <w:hyperlink r:id="rId19" w:history="1">
        <w:r w:rsidR="00A1347F" w:rsidRPr="00B14028">
          <w:rPr>
            <w:rStyle w:val="Hyperlink"/>
            <w:rFonts w:asciiTheme="minorHAnsi" w:eastAsia="Arial" w:hAnsiTheme="minorHAnsi" w:cstheme="minorHAnsi"/>
            <w:szCs w:val="20"/>
          </w:rPr>
          <w:t>https://www.wcpp.org.uk/publication/wcpp-at-10/</w:t>
        </w:r>
      </w:hyperlink>
      <w:r w:rsidR="00A1347F">
        <w:rPr>
          <w:rFonts w:asciiTheme="minorHAnsi" w:eastAsia="Arial" w:hAnsiTheme="minorHAnsi" w:cstheme="minorHAnsi"/>
          <w:szCs w:val="20"/>
        </w:rPr>
        <w:t xml:space="preserve"> </w:t>
      </w:r>
    </w:p>
    <w:p w14:paraId="01B5AB69" w14:textId="553B89BA" w:rsidR="00222314" w:rsidRPr="00AA4F47" w:rsidRDefault="00222314" w:rsidP="00F37479">
      <w:pPr>
        <w:pStyle w:val="Reference"/>
        <w:spacing w:line="240" w:lineRule="auto"/>
        <w:rPr>
          <w:rFonts w:asciiTheme="minorHAnsi" w:eastAsia="Arial" w:hAnsiTheme="minorHAnsi" w:cstheme="minorHAnsi"/>
          <w:szCs w:val="20"/>
        </w:rPr>
      </w:pPr>
      <w:r w:rsidRPr="00AA4F47">
        <w:rPr>
          <w:rFonts w:asciiTheme="minorHAnsi" w:eastAsia="Arial" w:hAnsiTheme="minorHAnsi" w:cstheme="minorHAnsi"/>
          <w:szCs w:val="20"/>
        </w:rPr>
        <w:t xml:space="preserve">Weick, K. (1995) </w:t>
      </w:r>
      <w:r w:rsidRPr="00AA4F47">
        <w:rPr>
          <w:rFonts w:asciiTheme="minorHAnsi" w:eastAsia="Arial" w:hAnsiTheme="minorHAnsi" w:cstheme="minorHAnsi"/>
          <w:i/>
          <w:iCs/>
          <w:szCs w:val="20"/>
        </w:rPr>
        <w:t>Sensemaking in Organizations</w:t>
      </w:r>
      <w:r w:rsidRPr="00AA4F47">
        <w:rPr>
          <w:rFonts w:asciiTheme="minorHAnsi" w:eastAsia="Arial" w:hAnsiTheme="minorHAnsi" w:cstheme="minorHAnsi"/>
          <w:szCs w:val="20"/>
        </w:rPr>
        <w:t xml:space="preserve"> (Vol 3). Sage Publications</w:t>
      </w:r>
    </w:p>
    <w:p w14:paraId="6628994D" w14:textId="2A2885E7" w:rsidR="00B34C4C" w:rsidRPr="00AA4F47" w:rsidRDefault="00B34C4C" w:rsidP="00F37479">
      <w:pPr>
        <w:pStyle w:val="Reference"/>
        <w:spacing w:line="240" w:lineRule="auto"/>
        <w:rPr>
          <w:rFonts w:asciiTheme="minorHAnsi" w:eastAsia="Arial" w:hAnsiTheme="minorHAnsi" w:cstheme="minorHAnsi"/>
          <w:szCs w:val="20"/>
        </w:rPr>
      </w:pPr>
      <w:r w:rsidRPr="00AA4F47">
        <w:rPr>
          <w:rFonts w:asciiTheme="minorHAnsi" w:eastAsia="Arial" w:hAnsiTheme="minorHAnsi" w:cstheme="minorHAnsi"/>
          <w:szCs w:val="20"/>
        </w:rPr>
        <w:t>Welsh Government (2022)</w:t>
      </w:r>
      <w:r w:rsidR="00FD1CD9" w:rsidRPr="00AA4F47">
        <w:rPr>
          <w:rFonts w:asciiTheme="minorHAnsi" w:eastAsia="Arial" w:hAnsiTheme="minorHAnsi" w:cstheme="minorHAnsi"/>
          <w:szCs w:val="20"/>
        </w:rPr>
        <w:t xml:space="preserve"> </w:t>
      </w:r>
      <w:r w:rsidR="00AD06BD" w:rsidRPr="00AA4F47">
        <w:rPr>
          <w:rFonts w:asciiTheme="minorHAnsi" w:eastAsia="Arial" w:hAnsiTheme="minorHAnsi" w:cstheme="minorHAnsi"/>
          <w:i/>
          <w:iCs/>
          <w:szCs w:val="20"/>
        </w:rPr>
        <w:t>Stronger, Fairer, Greener Wales</w:t>
      </w:r>
      <w:r w:rsidR="002722B7" w:rsidRPr="00AA4F47">
        <w:rPr>
          <w:rFonts w:asciiTheme="minorHAnsi" w:eastAsia="Arial" w:hAnsiTheme="minorHAnsi" w:cstheme="minorHAnsi"/>
          <w:i/>
          <w:iCs/>
          <w:szCs w:val="20"/>
        </w:rPr>
        <w:t>: A Plan for Employability and Skills</w:t>
      </w:r>
      <w:r w:rsidR="00AD06BD" w:rsidRPr="00AA4F47">
        <w:rPr>
          <w:rFonts w:asciiTheme="minorHAnsi" w:eastAsia="Arial" w:hAnsiTheme="minorHAnsi" w:cstheme="minorHAnsi"/>
          <w:szCs w:val="20"/>
        </w:rPr>
        <w:t xml:space="preserve">. </w:t>
      </w:r>
      <w:r w:rsidR="0090672B" w:rsidRPr="00AA4F47">
        <w:rPr>
          <w:rFonts w:asciiTheme="minorHAnsi" w:eastAsia="Arial" w:hAnsiTheme="minorHAnsi" w:cstheme="minorHAnsi"/>
          <w:szCs w:val="20"/>
        </w:rPr>
        <w:t xml:space="preserve">Available at: </w:t>
      </w:r>
      <w:hyperlink r:id="rId20" w:history="1">
        <w:r w:rsidR="002722B7" w:rsidRPr="00AA4F47">
          <w:rPr>
            <w:rStyle w:val="Hyperlink"/>
            <w:rFonts w:asciiTheme="minorHAnsi" w:eastAsia="Arial" w:hAnsiTheme="minorHAnsi" w:cstheme="minorHAnsi"/>
            <w:szCs w:val="20"/>
          </w:rPr>
          <w:t>https://www.gov.wales/stronger-fairer-greener-wales-plan-employability-and-skills</w:t>
        </w:r>
      </w:hyperlink>
      <w:r w:rsidR="002722B7" w:rsidRPr="00AA4F47">
        <w:rPr>
          <w:rFonts w:asciiTheme="minorHAnsi" w:eastAsia="Arial" w:hAnsiTheme="minorHAnsi" w:cstheme="minorHAnsi"/>
          <w:szCs w:val="20"/>
        </w:rPr>
        <w:t xml:space="preserve"> </w:t>
      </w:r>
    </w:p>
    <w:p w14:paraId="6CA5D0B8" w14:textId="77777777" w:rsidR="0069576E" w:rsidRPr="0069576E" w:rsidRDefault="0069576E" w:rsidP="0069576E">
      <w:pPr>
        <w:pStyle w:val="Reference"/>
        <w:spacing w:line="240" w:lineRule="auto"/>
        <w:rPr>
          <w:rFonts w:asciiTheme="minorHAnsi" w:eastAsia="Arial" w:hAnsiTheme="minorHAnsi" w:cstheme="minorHAnsi"/>
          <w:szCs w:val="20"/>
        </w:rPr>
      </w:pPr>
      <w:r w:rsidRPr="0069576E">
        <w:rPr>
          <w:rFonts w:asciiTheme="minorHAnsi" w:eastAsia="Arial" w:hAnsiTheme="minorHAnsi" w:cstheme="minorHAnsi"/>
          <w:szCs w:val="20"/>
        </w:rPr>
        <w:t xml:space="preserve">Wenger, E., and Wenger-Trayner, B. (2020) </w:t>
      </w:r>
      <w:r w:rsidRPr="0069576E">
        <w:rPr>
          <w:rFonts w:asciiTheme="minorHAnsi" w:eastAsia="Arial" w:hAnsiTheme="minorHAnsi" w:cstheme="minorHAnsi"/>
          <w:i/>
          <w:iCs/>
          <w:szCs w:val="20"/>
        </w:rPr>
        <w:t>Learning to make a difference: Value creation in social learning spaces</w:t>
      </w:r>
      <w:r w:rsidRPr="0069576E">
        <w:rPr>
          <w:rFonts w:asciiTheme="minorHAnsi" w:eastAsia="Arial" w:hAnsiTheme="minorHAnsi" w:cstheme="minorHAnsi"/>
          <w:szCs w:val="20"/>
        </w:rPr>
        <w:t>. Cambridge: Cambridge University Press.</w:t>
      </w:r>
    </w:p>
    <w:p w14:paraId="623E96C0" w14:textId="77777777" w:rsidR="0069576E" w:rsidRPr="00F37479" w:rsidRDefault="0069576E" w:rsidP="00F37479">
      <w:pPr>
        <w:pStyle w:val="Reference"/>
        <w:spacing w:line="240" w:lineRule="auto"/>
        <w:rPr>
          <w:rFonts w:asciiTheme="minorHAnsi" w:eastAsia="Arial" w:hAnsiTheme="minorHAnsi" w:cstheme="minorHAnsi"/>
          <w:szCs w:val="20"/>
        </w:rPr>
      </w:pPr>
    </w:p>
    <w:p w14:paraId="2ED6F4DD" w14:textId="77777777" w:rsidR="00F37479" w:rsidRPr="00F37479" w:rsidRDefault="00F37479" w:rsidP="00F37479">
      <w:pPr>
        <w:pStyle w:val="xparagraph"/>
        <w:spacing w:after="0" w:afterAutospacing="0" w:line="360" w:lineRule="auto"/>
        <w:jc w:val="both"/>
        <w:textAlignment w:val="baseline"/>
        <w:rPr>
          <w:rFonts w:asciiTheme="minorHAnsi" w:hAnsiTheme="minorHAnsi" w:cstheme="minorHAnsi"/>
          <w:b/>
          <w:bCs/>
          <w:sz w:val="20"/>
          <w:szCs w:val="20"/>
        </w:rPr>
      </w:pPr>
    </w:p>
    <w:p w14:paraId="4BB90251" w14:textId="77777777" w:rsidR="00B13964" w:rsidRPr="00F37479" w:rsidRDefault="00B13964" w:rsidP="004219EB">
      <w:pPr>
        <w:spacing w:line="360" w:lineRule="auto"/>
        <w:rPr>
          <w:rFonts w:cstheme="minorHAnsi"/>
          <w:sz w:val="20"/>
          <w:szCs w:val="20"/>
        </w:rPr>
      </w:pPr>
    </w:p>
    <w:sectPr w:rsidR="00B13964" w:rsidRPr="00F37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E5CE4"/>
    <w:multiLevelType w:val="hybridMultilevel"/>
    <w:tmpl w:val="F61C19F8"/>
    <w:lvl w:ilvl="0" w:tplc="E200BB1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74D6F44"/>
    <w:multiLevelType w:val="multilevel"/>
    <w:tmpl w:val="7E503AD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7BA12D75"/>
    <w:multiLevelType w:val="hybridMultilevel"/>
    <w:tmpl w:val="8BD4A890"/>
    <w:lvl w:ilvl="0" w:tplc="E56C0642">
      <w:start w:val="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83935">
    <w:abstractNumId w:val="1"/>
  </w:num>
  <w:num w:numId="2" w16cid:durableId="357123893">
    <w:abstractNumId w:val="0"/>
  </w:num>
  <w:num w:numId="3" w16cid:durableId="1836339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D26"/>
    <w:rsid w:val="00021DD0"/>
    <w:rsid w:val="000269C1"/>
    <w:rsid w:val="00031271"/>
    <w:rsid w:val="000319E0"/>
    <w:rsid w:val="0003305F"/>
    <w:rsid w:val="00042BE7"/>
    <w:rsid w:val="0004582A"/>
    <w:rsid w:val="00047E33"/>
    <w:rsid w:val="00067DE8"/>
    <w:rsid w:val="000869AD"/>
    <w:rsid w:val="000978CA"/>
    <w:rsid w:val="000A2BF4"/>
    <w:rsid w:val="000A618C"/>
    <w:rsid w:val="000B551F"/>
    <w:rsid w:val="000C304C"/>
    <w:rsid w:val="000D10C0"/>
    <w:rsid w:val="000D4645"/>
    <w:rsid w:val="000E1660"/>
    <w:rsid w:val="000E537A"/>
    <w:rsid w:val="000F58EE"/>
    <w:rsid w:val="0010083F"/>
    <w:rsid w:val="00181BCA"/>
    <w:rsid w:val="00182C3D"/>
    <w:rsid w:val="00183E7F"/>
    <w:rsid w:val="001A2B51"/>
    <w:rsid w:val="001C09E3"/>
    <w:rsid w:val="001D0CA3"/>
    <w:rsid w:val="001D14BE"/>
    <w:rsid w:val="00207460"/>
    <w:rsid w:val="00222314"/>
    <w:rsid w:val="002247C8"/>
    <w:rsid w:val="00243656"/>
    <w:rsid w:val="00260688"/>
    <w:rsid w:val="002722B7"/>
    <w:rsid w:val="00275097"/>
    <w:rsid w:val="00280B31"/>
    <w:rsid w:val="002905E9"/>
    <w:rsid w:val="002B1AA0"/>
    <w:rsid w:val="002E0576"/>
    <w:rsid w:val="002E3A46"/>
    <w:rsid w:val="002F138F"/>
    <w:rsid w:val="002F61BA"/>
    <w:rsid w:val="00307A64"/>
    <w:rsid w:val="00320368"/>
    <w:rsid w:val="00327A18"/>
    <w:rsid w:val="0034119F"/>
    <w:rsid w:val="00366447"/>
    <w:rsid w:val="00376B57"/>
    <w:rsid w:val="003A0096"/>
    <w:rsid w:val="003D5343"/>
    <w:rsid w:val="003E1A67"/>
    <w:rsid w:val="003F012E"/>
    <w:rsid w:val="003F35C9"/>
    <w:rsid w:val="004140E8"/>
    <w:rsid w:val="004145C5"/>
    <w:rsid w:val="004155CF"/>
    <w:rsid w:val="004219EB"/>
    <w:rsid w:val="00426497"/>
    <w:rsid w:val="00431ECC"/>
    <w:rsid w:val="00437030"/>
    <w:rsid w:val="004439E0"/>
    <w:rsid w:val="00445E85"/>
    <w:rsid w:val="00450146"/>
    <w:rsid w:val="00451D25"/>
    <w:rsid w:val="00452465"/>
    <w:rsid w:val="00452A6E"/>
    <w:rsid w:val="004535C1"/>
    <w:rsid w:val="00461DCC"/>
    <w:rsid w:val="0046519E"/>
    <w:rsid w:val="00475561"/>
    <w:rsid w:val="004762CB"/>
    <w:rsid w:val="004769C8"/>
    <w:rsid w:val="004951C0"/>
    <w:rsid w:val="004D47C4"/>
    <w:rsid w:val="004E0DB3"/>
    <w:rsid w:val="004F3B64"/>
    <w:rsid w:val="00500DF2"/>
    <w:rsid w:val="00501734"/>
    <w:rsid w:val="00504F0A"/>
    <w:rsid w:val="00513C08"/>
    <w:rsid w:val="005277C6"/>
    <w:rsid w:val="0053326D"/>
    <w:rsid w:val="00542071"/>
    <w:rsid w:val="0054353C"/>
    <w:rsid w:val="00553079"/>
    <w:rsid w:val="00571010"/>
    <w:rsid w:val="00572272"/>
    <w:rsid w:val="005723AF"/>
    <w:rsid w:val="005776D8"/>
    <w:rsid w:val="0058016B"/>
    <w:rsid w:val="005A4044"/>
    <w:rsid w:val="005B4E3F"/>
    <w:rsid w:val="005B6063"/>
    <w:rsid w:val="005C6417"/>
    <w:rsid w:val="005C6A6F"/>
    <w:rsid w:val="005D6861"/>
    <w:rsid w:val="005E2155"/>
    <w:rsid w:val="005E5311"/>
    <w:rsid w:val="005F0316"/>
    <w:rsid w:val="005F66CB"/>
    <w:rsid w:val="0060464F"/>
    <w:rsid w:val="00606E2E"/>
    <w:rsid w:val="00615A36"/>
    <w:rsid w:val="00621776"/>
    <w:rsid w:val="00637A0A"/>
    <w:rsid w:val="006438FB"/>
    <w:rsid w:val="006677E2"/>
    <w:rsid w:val="006723A7"/>
    <w:rsid w:val="006858CF"/>
    <w:rsid w:val="00690844"/>
    <w:rsid w:val="0069576E"/>
    <w:rsid w:val="006B6D3B"/>
    <w:rsid w:val="006C3668"/>
    <w:rsid w:val="006C69C0"/>
    <w:rsid w:val="006E2EE8"/>
    <w:rsid w:val="006F63D8"/>
    <w:rsid w:val="00703B8C"/>
    <w:rsid w:val="00705995"/>
    <w:rsid w:val="00713CE7"/>
    <w:rsid w:val="007170B8"/>
    <w:rsid w:val="00732E64"/>
    <w:rsid w:val="00744D26"/>
    <w:rsid w:val="00754C07"/>
    <w:rsid w:val="0078086F"/>
    <w:rsid w:val="007A01D4"/>
    <w:rsid w:val="007A03B3"/>
    <w:rsid w:val="007A0C53"/>
    <w:rsid w:val="007B1FC1"/>
    <w:rsid w:val="007C1235"/>
    <w:rsid w:val="007D1984"/>
    <w:rsid w:val="007D1B12"/>
    <w:rsid w:val="00800589"/>
    <w:rsid w:val="008062DD"/>
    <w:rsid w:val="008408E0"/>
    <w:rsid w:val="008445AB"/>
    <w:rsid w:val="00850202"/>
    <w:rsid w:val="0085039C"/>
    <w:rsid w:val="008624A6"/>
    <w:rsid w:val="00862EE3"/>
    <w:rsid w:val="008F2E2E"/>
    <w:rsid w:val="00901F2D"/>
    <w:rsid w:val="0090672B"/>
    <w:rsid w:val="009121EC"/>
    <w:rsid w:val="009414B6"/>
    <w:rsid w:val="009852AF"/>
    <w:rsid w:val="0099564F"/>
    <w:rsid w:val="009A4CFA"/>
    <w:rsid w:val="009E68B2"/>
    <w:rsid w:val="009F3D67"/>
    <w:rsid w:val="00A03C02"/>
    <w:rsid w:val="00A12F1F"/>
    <w:rsid w:val="00A1347F"/>
    <w:rsid w:val="00A1683A"/>
    <w:rsid w:val="00A2659B"/>
    <w:rsid w:val="00A273FF"/>
    <w:rsid w:val="00A30786"/>
    <w:rsid w:val="00A35C08"/>
    <w:rsid w:val="00A4725E"/>
    <w:rsid w:val="00A63DAC"/>
    <w:rsid w:val="00A6646A"/>
    <w:rsid w:val="00A67F32"/>
    <w:rsid w:val="00A70012"/>
    <w:rsid w:val="00A719BF"/>
    <w:rsid w:val="00A75F73"/>
    <w:rsid w:val="00A802F9"/>
    <w:rsid w:val="00A92666"/>
    <w:rsid w:val="00AA4F47"/>
    <w:rsid w:val="00AA69FB"/>
    <w:rsid w:val="00AB76B0"/>
    <w:rsid w:val="00AC1920"/>
    <w:rsid w:val="00AC26FA"/>
    <w:rsid w:val="00AD06BD"/>
    <w:rsid w:val="00AD6469"/>
    <w:rsid w:val="00AE12A3"/>
    <w:rsid w:val="00B13964"/>
    <w:rsid w:val="00B20ECF"/>
    <w:rsid w:val="00B27378"/>
    <w:rsid w:val="00B31A68"/>
    <w:rsid w:val="00B34C4C"/>
    <w:rsid w:val="00B41243"/>
    <w:rsid w:val="00B44323"/>
    <w:rsid w:val="00B815E0"/>
    <w:rsid w:val="00BB200A"/>
    <w:rsid w:val="00BB23C8"/>
    <w:rsid w:val="00BB34B3"/>
    <w:rsid w:val="00BC1357"/>
    <w:rsid w:val="00BC6AA6"/>
    <w:rsid w:val="00BE02C3"/>
    <w:rsid w:val="00C010D9"/>
    <w:rsid w:val="00C10DAF"/>
    <w:rsid w:val="00C10F0E"/>
    <w:rsid w:val="00C27A51"/>
    <w:rsid w:val="00C34DD5"/>
    <w:rsid w:val="00C37B6F"/>
    <w:rsid w:val="00C4019E"/>
    <w:rsid w:val="00C4582F"/>
    <w:rsid w:val="00C503D0"/>
    <w:rsid w:val="00C66271"/>
    <w:rsid w:val="00C71B0A"/>
    <w:rsid w:val="00C75833"/>
    <w:rsid w:val="00C776D7"/>
    <w:rsid w:val="00D03261"/>
    <w:rsid w:val="00D04ED0"/>
    <w:rsid w:val="00D0529A"/>
    <w:rsid w:val="00D05B6E"/>
    <w:rsid w:val="00D22D0C"/>
    <w:rsid w:val="00D23942"/>
    <w:rsid w:val="00D32B1A"/>
    <w:rsid w:val="00D43901"/>
    <w:rsid w:val="00D4435E"/>
    <w:rsid w:val="00D602A4"/>
    <w:rsid w:val="00D614A6"/>
    <w:rsid w:val="00D73EAF"/>
    <w:rsid w:val="00D848B8"/>
    <w:rsid w:val="00D90159"/>
    <w:rsid w:val="00DB680E"/>
    <w:rsid w:val="00DC5F26"/>
    <w:rsid w:val="00DC7ABF"/>
    <w:rsid w:val="00DD2F95"/>
    <w:rsid w:val="00DE0A6B"/>
    <w:rsid w:val="00DE2D5B"/>
    <w:rsid w:val="00DE4BD3"/>
    <w:rsid w:val="00DF1A71"/>
    <w:rsid w:val="00E13B81"/>
    <w:rsid w:val="00E21551"/>
    <w:rsid w:val="00E36DB9"/>
    <w:rsid w:val="00E373E4"/>
    <w:rsid w:val="00E743AD"/>
    <w:rsid w:val="00E75067"/>
    <w:rsid w:val="00E85982"/>
    <w:rsid w:val="00E8634E"/>
    <w:rsid w:val="00E92504"/>
    <w:rsid w:val="00E97D4C"/>
    <w:rsid w:val="00EC43C5"/>
    <w:rsid w:val="00EC59D4"/>
    <w:rsid w:val="00EC5BAB"/>
    <w:rsid w:val="00EC5FCD"/>
    <w:rsid w:val="00ED250B"/>
    <w:rsid w:val="00EF248E"/>
    <w:rsid w:val="00EF4E69"/>
    <w:rsid w:val="00EF72CE"/>
    <w:rsid w:val="00F14286"/>
    <w:rsid w:val="00F2169B"/>
    <w:rsid w:val="00F36C56"/>
    <w:rsid w:val="00F37479"/>
    <w:rsid w:val="00F779A9"/>
    <w:rsid w:val="00F83253"/>
    <w:rsid w:val="00F94CA7"/>
    <w:rsid w:val="00F96266"/>
    <w:rsid w:val="00FC0497"/>
    <w:rsid w:val="00FC3D8C"/>
    <w:rsid w:val="00FD1CD9"/>
    <w:rsid w:val="00FE1520"/>
    <w:rsid w:val="00FF253E"/>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CBA2C"/>
  <w15:chartTrackingRefBased/>
  <w15:docId w15:val="{66E04367-1362-AD4E-A7AA-39476ECE9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479"/>
    <w:pPr>
      <w:pageBreakBefore/>
      <w:numPr>
        <w:numId w:val="1"/>
      </w:numPr>
      <w:pBdr>
        <w:top w:val="nil"/>
        <w:left w:val="nil"/>
        <w:bottom w:val="nil"/>
        <w:right w:val="nil"/>
        <w:between w:val="nil"/>
      </w:pBdr>
      <w:spacing w:before="360" w:after="240"/>
      <w:jc w:val="both"/>
      <w:outlineLvl w:val="0"/>
    </w:pPr>
    <w:rPr>
      <w:rFonts w:ascii="Arial" w:eastAsia="Calibri" w:hAnsi="Arial" w:cs="Arial"/>
      <w:b/>
      <w:bCs/>
      <w:smallCaps/>
      <w:color w:val="000000"/>
      <w:kern w:val="36"/>
      <w:sz w:val="36"/>
      <w:szCs w:val="46"/>
      <w:lang w:eastAsia="en-GB"/>
      <w14:ligatures w14:val="none"/>
    </w:rPr>
  </w:style>
  <w:style w:type="paragraph" w:styleId="Heading2">
    <w:name w:val="heading 2"/>
    <w:basedOn w:val="Normal"/>
    <w:next w:val="Normal"/>
    <w:link w:val="Heading2Char"/>
    <w:unhideWhenUsed/>
    <w:qFormat/>
    <w:rsid w:val="00F37479"/>
    <w:pPr>
      <w:numPr>
        <w:ilvl w:val="1"/>
        <w:numId w:val="1"/>
      </w:numPr>
      <w:pBdr>
        <w:top w:val="nil"/>
        <w:left w:val="nil"/>
        <w:bottom w:val="nil"/>
        <w:right w:val="nil"/>
        <w:between w:val="nil"/>
      </w:pBdr>
      <w:spacing w:before="240" w:after="240" w:line="360" w:lineRule="auto"/>
      <w:outlineLvl w:val="1"/>
    </w:pPr>
    <w:rPr>
      <w:rFonts w:ascii="Arial" w:eastAsia="Times New Roman" w:hAnsi="Arial" w:cs="Arial"/>
      <w:b/>
      <w:color w:val="000000"/>
      <w:kern w:val="0"/>
      <w:szCs w:val="22"/>
      <w:lang w:val="en-US" w:eastAsia="en-GB"/>
      <w14:ligatures w14:val="none"/>
    </w:rPr>
  </w:style>
  <w:style w:type="paragraph" w:styleId="Heading3">
    <w:name w:val="heading 3"/>
    <w:basedOn w:val="Heading2"/>
    <w:next w:val="Normal"/>
    <w:link w:val="Heading3Char"/>
    <w:uiPriority w:val="9"/>
    <w:unhideWhenUsed/>
    <w:qFormat/>
    <w:rsid w:val="00F37479"/>
    <w:pPr>
      <w:numPr>
        <w:ilvl w:val="2"/>
      </w:numPr>
      <w:ind w:left="851" w:hanging="851"/>
      <w:outlineLvl w:val="2"/>
    </w:pPr>
  </w:style>
  <w:style w:type="paragraph" w:styleId="Heading4">
    <w:name w:val="heading 4"/>
    <w:basedOn w:val="Normal"/>
    <w:next w:val="Normal"/>
    <w:link w:val="Heading4Char"/>
    <w:uiPriority w:val="9"/>
    <w:unhideWhenUsed/>
    <w:qFormat/>
    <w:rsid w:val="00F37479"/>
    <w:pPr>
      <w:numPr>
        <w:ilvl w:val="3"/>
        <w:numId w:val="1"/>
      </w:numPr>
      <w:pBdr>
        <w:top w:val="nil"/>
        <w:left w:val="nil"/>
        <w:bottom w:val="nil"/>
        <w:right w:val="nil"/>
        <w:between w:val="nil"/>
      </w:pBdr>
      <w:spacing w:before="240" w:after="240" w:line="360" w:lineRule="auto"/>
      <w:jc w:val="both"/>
      <w:outlineLvl w:val="3"/>
    </w:pPr>
    <w:rPr>
      <w:rFonts w:ascii="Arial" w:eastAsia="Times New Roman" w:hAnsi="Arial" w:cs="Arial"/>
      <w:b/>
      <w:color w:val="000000"/>
      <w:kern w:val="0"/>
      <w:lang w:eastAsia="en-GB"/>
      <w14:ligatures w14:val="none"/>
    </w:rPr>
  </w:style>
  <w:style w:type="paragraph" w:styleId="Heading5">
    <w:name w:val="heading 5"/>
    <w:basedOn w:val="Normal"/>
    <w:next w:val="Normal"/>
    <w:link w:val="Heading5Char"/>
    <w:uiPriority w:val="9"/>
    <w:semiHidden/>
    <w:unhideWhenUsed/>
    <w:qFormat/>
    <w:rsid w:val="00F37479"/>
    <w:pPr>
      <w:keepNext/>
      <w:keepLines/>
      <w:numPr>
        <w:ilvl w:val="4"/>
        <w:numId w:val="1"/>
      </w:numPr>
      <w:pBdr>
        <w:top w:val="nil"/>
        <w:left w:val="nil"/>
        <w:bottom w:val="nil"/>
        <w:right w:val="nil"/>
        <w:between w:val="nil"/>
      </w:pBdr>
      <w:spacing w:before="40" w:line="360" w:lineRule="auto"/>
      <w:jc w:val="both"/>
      <w:outlineLvl w:val="4"/>
    </w:pPr>
    <w:rPr>
      <w:rFonts w:asciiTheme="majorHAnsi" w:eastAsiaTheme="majorEastAsia" w:hAnsiTheme="majorHAnsi" w:cstheme="majorBidi"/>
      <w:color w:val="2F5496" w:themeColor="accent1" w:themeShade="BF"/>
      <w:kern w:val="0"/>
      <w:sz w:val="22"/>
      <w:szCs w:val="22"/>
      <w:lang w:eastAsia="en-GB"/>
      <w14:ligatures w14:val="none"/>
    </w:rPr>
  </w:style>
  <w:style w:type="paragraph" w:styleId="Heading6">
    <w:name w:val="heading 6"/>
    <w:basedOn w:val="Normal"/>
    <w:next w:val="Normal"/>
    <w:link w:val="Heading6Char"/>
    <w:uiPriority w:val="9"/>
    <w:semiHidden/>
    <w:unhideWhenUsed/>
    <w:qFormat/>
    <w:rsid w:val="00F37479"/>
    <w:pPr>
      <w:keepNext/>
      <w:keepLines/>
      <w:numPr>
        <w:ilvl w:val="5"/>
        <w:numId w:val="1"/>
      </w:numPr>
      <w:pBdr>
        <w:top w:val="nil"/>
        <w:left w:val="nil"/>
        <w:bottom w:val="nil"/>
        <w:right w:val="nil"/>
        <w:between w:val="nil"/>
      </w:pBdr>
      <w:spacing w:before="40" w:line="360" w:lineRule="auto"/>
      <w:jc w:val="both"/>
      <w:outlineLvl w:val="5"/>
    </w:pPr>
    <w:rPr>
      <w:rFonts w:asciiTheme="majorHAnsi" w:eastAsiaTheme="majorEastAsia" w:hAnsiTheme="majorHAnsi" w:cstheme="majorBidi"/>
      <w:color w:val="1F3763" w:themeColor="accent1" w:themeShade="7F"/>
      <w:kern w:val="0"/>
      <w:sz w:val="22"/>
      <w:szCs w:val="22"/>
      <w:lang w:eastAsia="en-GB"/>
      <w14:ligatures w14:val="none"/>
    </w:rPr>
  </w:style>
  <w:style w:type="paragraph" w:styleId="Heading7">
    <w:name w:val="heading 7"/>
    <w:basedOn w:val="Normal"/>
    <w:next w:val="Normal"/>
    <w:link w:val="Heading7Char"/>
    <w:uiPriority w:val="9"/>
    <w:semiHidden/>
    <w:unhideWhenUsed/>
    <w:qFormat/>
    <w:rsid w:val="00F37479"/>
    <w:pPr>
      <w:keepNext/>
      <w:keepLines/>
      <w:numPr>
        <w:ilvl w:val="6"/>
        <w:numId w:val="1"/>
      </w:numPr>
      <w:pBdr>
        <w:top w:val="nil"/>
        <w:left w:val="nil"/>
        <w:bottom w:val="nil"/>
        <w:right w:val="nil"/>
        <w:between w:val="nil"/>
      </w:pBdr>
      <w:spacing w:before="40" w:line="360" w:lineRule="auto"/>
      <w:jc w:val="both"/>
      <w:outlineLvl w:val="6"/>
    </w:pPr>
    <w:rPr>
      <w:rFonts w:asciiTheme="majorHAnsi" w:eastAsiaTheme="majorEastAsia" w:hAnsiTheme="majorHAnsi" w:cstheme="majorBidi"/>
      <w:i/>
      <w:iCs/>
      <w:color w:val="1F3763" w:themeColor="accent1" w:themeShade="7F"/>
      <w:kern w:val="0"/>
      <w:sz w:val="22"/>
      <w:szCs w:val="22"/>
      <w:lang w:eastAsia="en-GB"/>
      <w14:ligatures w14:val="none"/>
    </w:rPr>
  </w:style>
  <w:style w:type="paragraph" w:styleId="Heading8">
    <w:name w:val="heading 8"/>
    <w:basedOn w:val="Normal"/>
    <w:next w:val="Normal"/>
    <w:link w:val="Heading8Char"/>
    <w:uiPriority w:val="9"/>
    <w:semiHidden/>
    <w:unhideWhenUsed/>
    <w:qFormat/>
    <w:rsid w:val="00F37479"/>
    <w:pPr>
      <w:keepNext/>
      <w:keepLines/>
      <w:numPr>
        <w:ilvl w:val="7"/>
        <w:numId w:val="1"/>
      </w:numPr>
      <w:pBdr>
        <w:top w:val="nil"/>
        <w:left w:val="nil"/>
        <w:bottom w:val="nil"/>
        <w:right w:val="nil"/>
        <w:between w:val="nil"/>
      </w:pBdr>
      <w:spacing w:before="40" w:line="360" w:lineRule="auto"/>
      <w:jc w:val="both"/>
      <w:outlineLvl w:val="7"/>
    </w:pPr>
    <w:rPr>
      <w:rFonts w:asciiTheme="majorHAnsi" w:eastAsiaTheme="majorEastAsia" w:hAnsiTheme="majorHAnsi" w:cstheme="majorBidi"/>
      <w:color w:val="272727" w:themeColor="text1" w:themeTint="D8"/>
      <w:kern w:val="0"/>
      <w:sz w:val="21"/>
      <w:szCs w:val="21"/>
      <w:lang w:eastAsia="en-GB"/>
      <w14:ligatures w14:val="none"/>
    </w:rPr>
  </w:style>
  <w:style w:type="paragraph" w:styleId="Heading9">
    <w:name w:val="heading 9"/>
    <w:basedOn w:val="Normal"/>
    <w:next w:val="Normal"/>
    <w:link w:val="Heading9Char"/>
    <w:uiPriority w:val="9"/>
    <w:semiHidden/>
    <w:unhideWhenUsed/>
    <w:qFormat/>
    <w:rsid w:val="00F37479"/>
    <w:pPr>
      <w:keepNext/>
      <w:keepLines/>
      <w:numPr>
        <w:ilvl w:val="8"/>
        <w:numId w:val="1"/>
      </w:numPr>
      <w:pBdr>
        <w:top w:val="nil"/>
        <w:left w:val="nil"/>
        <w:bottom w:val="nil"/>
        <w:right w:val="nil"/>
        <w:between w:val="nil"/>
      </w:pBdr>
      <w:spacing w:before="40" w:line="360" w:lineRule="auto"/>
      <w:jc w:val="both"/>
      <w:outlineLvl w:val="8"/>
    </w:pPr>
    <w:rPr>
      <w:rFonts w:asciiTheme="majorHAnsi" w:eastAsiaTheme="majorEastAsia" w:hAnsiTheme="majorHAnsi" w:cstheme="majorBidi"/>
      <w:i/>
      <w:iCs/>
      <w:color w:val="272727" w:themeColor="text1" w:themeTint="D8"/>
      <w:kern w:val="0"/>
      <w:sz w:val="21"/>
      <w:szCs w:val="21"/>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paragraph">
    <w:name w:val="x_paragraph"/>
    <w:basedOn w:val="Normal"/>
    <w:rsid w:val="00744D26"/>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xnormaltextrun">
    <w:name w:val="x_normaltextrun"/>
    <w:basedOn w:val="DefaultParagraphFont"/>
    <w:rsid w:val="00744D26"/>
  </w:style>
  <w:style w:type="character" w:customStyle="1" w:styleId="xeop">
    <w:name w:val="x_eop"/>
    <w:basedOn w:val="DefaultParagraphFont"/>
    <w:rsid w:val="00744D26"/>
  </w:style>
  <w:style w:type="paragraph" w:styleId="NormalWeb">
    <w:name w:val="Normal (Web)"/>
    <w:basedOn w:val="Normal"/>
    <w:uiPriority w:val="99"/>
    <w:unhideWhenUsed/>
    <w:rsid w:val="004762CB"/>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10083F"/>
    <w:rPr>
      <w:color w:val="0563C1" w:themeColor="hyperlink"/>
      <w:u w:val="single"/>
    </w:rPr>
  </w:style>
  <w:style w:type="character" w:customStyle="1" w:styleId="Heading1Char">
    <w:name w:val="Heading 1 Char"/>
    <w:basedOn w:val="DefaultParagraphFont"/>
    <w:link w:val="Heading1"/>
    <w:uiPriority w:val="9"/>
    <w:rsid w:val="00F37479"/>
    <w:rPr>
      <w:rFonts w:ascii="Arial" w:eastAsia="Calibri" w:hAnsi="Arial" w:cs="Arial"/>
      <w:b/>
      <w:bCs/>
      <w:smallCaps/>
      <w:color w:val="000000"/>
      <w:kern w:val="36"/>
      <w:sz w:val="36"/>
      <w:szCs w:val="46"/>
      <w:lang w:eastAsia="en-GB"/>
      <w14:ligatures w14:val="none"/>
    </w:rPr>
  </w:style>
  <w:style w:type="character" w:customStyle="1" w:styleId="Heading2Char">
    <w:name w:val="Heading 2 Char"/>
    <w:basedOn w:val="DefaultParagraphFont"/>
    <w:link w:val="Heading2"/>
    <w:rsid w:val="00F37479"/>
    <w:rPr>
      <w:rFonts w:ascii="Arial" w:eastAsia="Times New Roman" w:hAnsi="Arial" w:cs="Arial"/>
      <w:b/>
      <w:color w:val="000000"/>
      <w:kern w:val="0"/>
      <w:szCs w:val="22"/>
      <w:lang w:val="en-US" w:eastAsia="en-GB"/>
      <w14:ligatures w14:val="none"/>
    </w:rPr>
  </w:style>
  <w:style w:type="character" w:customStyle="1" w:styleId="Heading3Char">
    <w:name w:val="Heading 3 Char"/>
    <w:basedOn w:val="DefaultParagraphFont"/>
    <w:link w:val="Heading3"/>
    <w:uiPriority w:val="9"/>
    <w:rsid w:val="00F37479"/>
    <w:rPr>
      <w:rFonts w:ascii="Arial" w:eastAsia="Times New Roman" w:hAnsi="Arial" w:cs="Arial"/>
      <w:b/>
      <w:color w:val="000000"/>
      <w:kern w:val="0"/>
      <w:szCs w:val="22"/>
      <w:lang w:val="en-US" w:eastAsia="en-GB"/>
      <w14:ligatures w14:val="none"/>
    </w:rPr>
  </w:style>
  <w:style w:type="character" w:customStyle="1" w:styleId="Heading4Char">
    <w:name w:val="Heading 4 Char"/>
    <w:basedOn w:val="DefaultParagraphFont"/>
    <w:link w:val="Heading4"/>
    <w:uiPriority w:val="9"/>
    <w:rsid w:val="00F37479"/>
    <w:rPr>
      <w:rFonts w:ascii="Arial" w:eastAsia="Times New Roman" w:hAnsi="Arial" w:cs="Arial"/>
      <w:b/>
      <w:color w:val="000000"/>
      <w:kern w:val="0"/>
      <w:lang w:eastAsia="en-GB"/>
      <w14:ligatures w14:val="none"/>
    </w:rPr>
  </w:style>
  <w:style w:type="character" w:customStyle="1" w:styleId="Heading5Char">
    <w:name w:val="Heading 5 Char"/>
    <w:basedOn w:val="DefaultParagraphFont"/>
    <w:link w:val="Heading5"/>
    <w:uiPriority w:val="9"/>
    <w:semiHidden/>
    <w:rsid w:val="00F37479"/>
    <w:rPr>
      <w:rFonts w:asciiTheme="majorHAnsi" w:eastAsiaTheme="majorEastAsia" w:hAnsiTheme="majorHAnsi" w:cstheme="majorBidi"/>
      <w:color w:val="2F5496" w:themeColor="accent1" w:themeShade="BF"/>
      <w:kern w:val="0"/>
      <w:sz w:val="22"/>
      <w:szCs w:val="22"/>
      <w:lang w:eastAsia="en-GB"/>
      <w14:ligatures w14:val="none"/>
    </w:rPr>
  </w:style>
  <w:style w:type="character" w:customStyle="1" w:styleId="Heading6Char">
    <w:name w:val="Heading 6 Char"/>
    <w:basedOn w:val="DefaultParagraphFont"/>
    <w:link w:val="Heading6"/>
    <w:uiPriority w:val="9"/>
    <w:semiHidden/>
    <w:rsid w:val="00F37479"/>
    <w:rPr>
      <w:rFonts w:asciiTheme="majorHAnsi" w:eastAsiaTheme="majorEastAsia" w:hAnsiTheme="majorHAnsi" w:cstheme="majorBidi"/>
      <w:color w:val="1F3763" w:themeColor="accent1" w:themeShade="7F"/>
      <w:kern w:val="0"/>
      <w:sz w:val="22"/>
      <w:szCs w:val="22"/>
      <w:lang w:eastAsia="en-GB"/>
      <w14:ligatures w14:val="none"/>
    </w:rPr>
  </w:style>
  <w:style w:type="character" w:customStyle="1" w:styleId="Heading7Char">
    <w:name w:val="Heading 7 Char"/>
    <w:basedOn w:val="DefaultParagraphFont"/>
    <w:link w:val="Heading7"/>
    <w:uiPriority w:val="9"/>
    <w:semiHidden/>
    <w:rsid w:val="00F37479"/>
    <w:rPr>
      <w:rFonts w:asciiTheme="majorHAnsi" w:eastAsiaTheme="majorEastAsia" w:hAnsiTheme="majorHAnsi" w:cstheme="majorBidi"/>
      <w:i/>
      <w:iCs/>
      <w:color w:val="1F3763" w:themeColor="accent1" w:themeShade="7F"/>
      <w:kern w:val="0"/>
      <w:sz w:val="22"/>
      <w:szCs w:val="22"/>
      <w:lang w:eastAsia="en-GB"/>
      <w14:ligatures w14:val="none"/>
    </w:rPr>
  </w:style>
  <w:style w:type="character" w:customStyle="1" w:styleId="Heading8Char">
    <w:name w:val="Heading 8 Char"/>
    <w:basedOn w:val="DefaultParagraphFont"/>
    <w:link w:val="Heading8"/>
    <w:uiPriority w:val="9"/>
    <w:semiHidden/>
    <w:rsid w:val="00F37479"/>
    <w:rPr>
      <w:rFonts w:asciiTheme="majorHAnsi" w:eastAsiaTheme="majorEastAsia" w:hAnsiTheme="majorHAnsi" w:cstheme="majorBidi"/>
      <w:color w:val="272727" w:themeColor="text1" w:themeTint="D8"/>
      <w:kern w:val="0"/>
      <w:sz w:val="21"/>
      <w:szCs w:val="21"/>
      <w:lang w:eastAsia="en-GB"/>
      <w14:ligatures w14:val="none"/>
    </w:rPr>
  </w:style>
  <w:style w:type="character" w:customStyle="1" w:styleId="Heading9Char">
    <w:name w:val="Heading 9 Char"/>
    <w:basedOn w:val="DefaultParagraphFont"/>
    <w:link w:val="Heading9"/>
    <w:uiPriority w:val="9"/>
    <w:semiHidden/>
    <w:rsid w:val="00F37479"/>
    <w:rPr>
      <w:rFonts w:asciiTheme="majorHAnsi" w:eastAsiaTheme="majorEastAsia" w:hAnsiTheme="majorHAnsi" w:cstheme="majorBidi"/>
      <w:i/>
      <w:iCs/>
      <w:color w:val="272727" w:themeColor="text1" w:themeTint="D8"/>
      <w:kern w:val="0"/>
      <w:sz w:val="21"/>
      <w:szCs w:val="21"/>
      <w:lang w:eastAsia="en-GB"/>
      <w14:ligatures w14:val="none"/>
    </w:rPr>
  </w:style>
  <w:style w:type="paragraph" w:customStyle="1" w:styleId="Body">
    <w:name w:val="Body"/>
    <w:rsid w:val="00F37479"/>
    <w:pPr>
      <w:pBdr>
        <w:top w:val="nil"/>
        <w:left w:val="nil"/>
        <w:bottom w:val="nil"/>
        <w:right w:val="nil"/>
        <w:between w:val="nil"/>
        <w:bar w:val="nil"/>
      </w:pBdr>
      <w:spacing w:before="240" w:after="240" w:line="360" w:lineRule="auto"/>
      <w:jc w:val="both"/>
    </w:pPr>
    <w:rPr>
      <w:rFonts w:ascii="Times New Roman" w:eastAsia="Times New Roman" w:hAnsi="Times New Roman" w:cs="Times New Roman"/>
      <w:color w:val="000000"/>
      <w:kern w:val="0"/>
      <w:sz w:val="22"/>
      <w:szCs w:val="22"/>
      <w:u w:color="000000"/>
      <w:bdr w:val="nil"/>
      <w:lang w:eastAsia="en-GB"/>
      <w14:ligatures w14:val="none"/>
    </w:rPr>
  </w:style>
  <w:style w:type="character" w:customStyle="1" w:styleId="Hyperlink3">
    <w:name w:val="Hyperlink.3"/>
    <w:basedOn w:val="DefaultParagraphFont"/>
    <w:rsid w:val="00F37479"/>
    <w:rPr>
      <w:rFonts w:ascii="Calibri" w:eastAsia="Calibri" w:hAnsi="Calibri" w:cs="Calibri"/>
    </w:rPr>
  </w:style>
  <w:style w:type="paragraph" w:customStyle="1" w:styleId="Reference">
    <w:name w:val="Reference"/>
    <w:basedOn w:val="Normal"/>
    <w:qFormat/>
    <w:rsid w:val="00F37479"/>
    <w:pPr>
      <w:pBdr>
        <w:top w:val="nil"/>
        <w:left w:val="nil"/>
        <w:bottom w:val="nil"/>
        <w:right w:val="nil"/>
        <w:between w:val="nil"/>
      </w:pBdr>
      <w:spacing w:before="240" w:after="240" w:line="276" w:lineRule="auto"/>
      <w:jc w:val="both"/>
    </w:pPr>
    <w:rPr>
      <w:rFonts w:ascii="Arial" w:eastAsia="Times New Roman" w:hAnsi="Arial" w:cs="Arial"/>
      <w:color w:val="000000"/>
      <w:kern w:val="0"/>
      <w:sz w:val="20"/>
      <w:szCs w:val="22"/>
      <w:lang w:eastAsia="en-GB"/>
      <w14:ligatures w14:val="none"/>
    </w:rPr>
  </w:style>
  <w:style w:type="character" w:customStyle="1" w:styleId="Hyperlink4">
    <w:name w:val="Hyperlink.4"/>
    <w:basedOn w:val="DefaultParagraphFont"/>
    <w:rsid w:val="00F37479"/>
    <w:rPr>
      <w:rFonts w:ascii="Calibri" w:eastAsia="Calibri" w:hAnsi="Calibri" w:cs="Calibri"/>
      <w:i/>
      <w:iCs/>
    </w:rPr>
  </w:style>
  <w:style w:type="character" w:styleId="Emphasis">
    <w:name w:val="Emphasis"/>
    <w:basedOn w:val="DefaultParagraphFont"/>
    <w:uiPriority w:val="20"/>
    <w:qFormat/>
    <w:rsid w:val="00F37479"/>
    <w:rPr>
      <w:i/>
      <w:iCs/>
    </w:rPr>
  </w:style>
  <w:style w:type="paragraph" w:styleId="Caption">
    <w:name w:val="caption"/>
    <w:basedOn w:val="Normal"/>
    <w:next w:val="Normal"/>
    <w:uiPriority w:val="35"/>
    <w:unhideWhenUsed/>
    <w:qFormat/>
    <w:rsid w:val="00031271"/>
    <w:pPr>
      <w:spacing w:after="200"/>
    </w:pPr>
    <w:rPr>
      <w:rFonts w:eastAsiaTheme="minorEastAsia"/>
      <w:i/>
      <w:iCs/>
      <w:color w:val="44546A" w:themeColor="text2"/>
      <w:sz w:val="18"/>
      <w:szCs w:val="18"/>
      <w:lang w:eastAsia="zh-TW"/>
    </w:rPr>
  </w:style>
  <w:style w:type="table" w:styleId="TableGrid">
    <w:name w:val="Table Grid"/>
    <w:basedOn w:val="TableNormal"/>
    <w:uiPriority w:val="39"/>
    <w:rsid w:val="00AB7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03B3"/>
    <w:pPr>
      <w:ind w:left="720"/>
      <w:contextualSpacing/>
    </w:pPr>
  </w:style>
  <w:style w:type="character" w:styleId="UnresolvedMention">
    <w:name w:val="Unresolved Mention"/>
    <w:basedOn w:val="DefaultParagraphFont"/>
    <w:uiPriority w:val="99"/>
    <w:semiHidden/>
    <w:unhideWhenUsed/>
    <w:rsid w:val="00B34C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576373">
      <w:bodyDiv w:val="1"/>
      <w:marLeft w:val="0"/>
      <w:marRight w:val="0"/>
      <w:marTop w:val="0"/>
      <w:marBottom w:val="0"/>
      <w:divBdr>
        <w:top w:val="none" w:sz="0" w:space="0" w:color="auto"/>
        <w:left w:val="none" w:sz="0" w:space="0" w:color="auto"/>
        <w:bottom w:val="none" w:sz="0" w:space="0" w:color="auto"/>
        <w:right w:val="none" w:sz="0" w:space="0" w:color="auto"/>
      </w:divBdr>
    </w:div>
    <w:div w:id="1016616803">
      <w:bodyDiv w:val="1"/>
      <w:marLeft w:val="0"/>
      <w:marRight w:val="0"/>
      <w:marTop w:val="0"/>
      <w:marBottom w:val="0"/>
      <w:divBdr>
        <w:top w:val="none" w:sz="0" w:space="0" w:color="auto"/>
        <w:left w:val="none" w:sz="0" w:space="0" w:color="auto"/>
        <w:bottom w:val="none" w:sz="0" w:space="0" w:color="auto"/>
        <w:right w:val="none" w:sz="0" w:space="0" w:color="auto"/>
      </w:divBdr>
      <w:divsChild>
        <w:div w:id="843128169">
          <w:marLeft w:val="0"/>
          <w:marRight w:val="0"/>
          <w:marTop w:val="0"/>
          <w:marBottom w:val="0"/>
          <w:divBdr>
            <w:top w:val="none" w:sz="0" w:space="0" w:color="auto"/>
            <w:left w:val="none" w:sz="0" w:space="0" w:color="auto"/>
            <w:bottom w:val="none" w:sz="0" w:space="0" w:color="auto"/>
            <w:right w:val="none" w:sz="0" w:space="0" w:color="auto"/>
          </w:divBdr>
        </w:div>
      </w:divsChild>
    </w:div>
    <w:div w:id="103011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wales/procurement-guidance-on-social-value-clauses-community-benefits-html" TargetMode="External"/><Relationship Id="rId13" Type="http://schemas.openxmlformats.org/officeDocument/2006/relationships/image" Target="media/image2.jpg"/><Relationship Id="rId18" Type="http://schemas.openxmlformats.org/officeDocument/2006/relationships/hyperlink" Target="https://www.gov.wales/new-foundational-economy-academy-wales-scoping-and-feasibility-stud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llenmacarthurfoundation.org/topics/circular-economy-introduction/overview" TargetMode="External"/><Relationship Id="rId12" Type="http://schemas.openxmlformats.org/officeDocument/2006/relationships/chart" Target="charts/chart3.xml"/><Relationship Id="rId17" Type="http://schemas.openxmlformats.org/officeDocument/2006/relationships/hyperlink" Target="https://doi.org/10.1108/MD-10-2018-1111" TargetMode="External"/><Relationship Id="rId2" Type="http://schemas.openxmlformats.org/officeDocument/2006/relationships/styles" Target="styles.xml"/><Relationship Id="rId16" Type="http://schemas.openxmlformats.org/officeDocument/2006/relationships/hyperlink" Target="https://doi.org/10.1016/j.respol.2018.12.001" TargetMode="External"/><Relationship Id="rId20" Type="http://schemas.openxmlformats.org/officeDocument/2006/relationships/hyperlink" Target="https://www.gov.wales/stronger-fairer-greener-wales-plan-employability-and-skills" TargetMode="External"/><Relationship Id="rId1" Type="http://schemas.openxmlformats.org/officeDocument/2006/relationships/numbering" Target="numbering.xml"/><Relationship Id="rId6" Type="http://schemas.openxmlformats.org/officeDocument/2006/relationships/hyperlink" Target="https://www.gov.wales/healthier-wales-foundation-economy-programme" TargetMode="External"/><Relationship Id="rId11" Type="http://schemas.openxmlformats.org/officeDocument/2006/relationships/chart" Target="charts/chart2.xml"/><Relationship Id="rId5" Type="http://schemas.openxmlformats.org/officeDocument/2006/relationships/hyperlink" Target="https://www.futuregenerations.wales/about-us/future-generations-act/" TargetMode="External"/><Relationship Id="rId15" Type="http://schemas.openxmlformats.org/officeDocument/2006/relationships/image" Target="media/image4.jpg"/><Relationship Id="rId10" Type="http://schemas.openxmlformats.org/officeDocument/2006/relationships/chart" Target="charts/chart1.xml"/><Relationship Id="rId19" Type="http://schemas.openxmlformats.org/officeDocument/2006/relationships/hyperlink" Target="https://www.wcpp.org.uk/publication/wcpp-at-10/"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3.jp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Understanding of concepts before</a:t>
            </a:r>
            <a:r>
              <a:rPr lang="en-GB" baseline="0"/>
              <a:t> and after workshops</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1"/>
          <c:order val="0"/>
          <c:tx>
            <c:strRef>
              <c:f>Sheet1!$C$1</c:f>
              <c:strCache>
                <c:ptCount val="1"/>
                <c:pt idx="0">
                  <c:v>Post-workshop</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FE/CWB</c:v>
                </c:pt>
                <c:pt idx="1">
                  <c:v>CE</c:v>
                </c:pt>
                <c:pt idx="2">
                  <c:v>Social Value</c:v>
                </c:pt>
              </c:strCache>
            </c:strRef>
          </c:cat>
          <c:val>
            <c:numRef>
              <c:f>Sheet1!$C$2:$C$4</c:f>
              <c:numCache>
                <c:formatCode>0%</c:formatCode>
                <c:ptCount val="3"/>
                <c:pt idx="0">
                  <c:v>0.88</c:v>
                </c:pt>
                <c:pt idx="1">
                  <c:v>0.88</c:v>
                </c:pt>
                <c:pt idx="2">
                  <c:v>0.88</c:v>
                </c:pt>
              </c:numCache>
            </c:numRef>
          </c:val>
          <c:extLst>
            <c:ext xmlns:c16="http://schemas.microsoft.com/office/drawing/2014/chart" uri="{C3380CC4-5D6E-409C-BE32-E72D297353CC}">
              <c16:uniqueId val="{00000000-8EC1-EF4F-A461-F2552AD52D5C}"/>
            </c:ext>
          </c:extLst>
        </c:ser>
        <c:ser>
          <c:idx val="0"/>
          <c:order val="1"/>
          <c:tx>
            <c:strRef>
              <c:f>Sheet1!$B$1</c:f>
              <c:strCache>
                <c:ptCount val="1"/>
                <c:pt idx="0">
                  <c:v>Pre-workshp</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FE/CWB</c:v>
                </c:pt>
                <c:pt idx="1">
                  <c:v>CE</c:v>
                </c:pt>
                <c:pt idx="2">
                  <c:v>Social Value</c:v>
                </c:pt>
              </c:strCache>
            </c:strRef>
          </c:cat>
          <c:val>
            <c:numRef>
              <c:f>Sheet1!$B$2:$B$4</c:f>
              <c:numCache>
                <c:formatCode>0%</c:formatCode>
                <c:ptCount val="3"/>
                <c:pt idx="0">
                  <c:v>0.09</c:v>
                </c:pt>
                <c:pt idx="1">
                  <c:v>0.22</c:v>
                </c:pt>
                <c:pt idx="2">
                  <c:v>0.39</c:v>
                </c:pt>
              </c:numCache>
            </c:numRef>
          </c:val>
          <c:extLst>
            <c:ext xmlns:c16="http://schemas.microsoft.com/office/drawing/2014/chart" uri="{C3380CC4-5D6E-409C-BE32-E72D297353CC}">
              <c16:uniqueId val="{00000001-8EC1-EF4F-A461-F2552AD52D5C}"/>
            </c:ext>
          </c:extLst>
        </c:ser>
        <c:dLbls>
          <c:dLblPos val="outEnd"/>
          <c:showLegendKey val="0"/>
          <c:showVal val="1"/>
          <c:showCatName val="0"/>
          <c:showSerName val="0"/>
          <c:showPercent val="0"/>
          <c:showBubbleSize val="0"/>
        </c:dLbls>
        <c:gapWidth val="182"/>
        <c:axId val="684710880"/>
        <c:axId val="684710400"/>
      </c:barChart>
      <c:catAx>
        <c:axId val="6847108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4710400"/>
        <c:crosses val="autoZero"/>
        <c:auto val="1"/>
        <c:lblAlgn val="ctr"/>
        <c:lblOffset val="100"/>
        <c:noMultiLvlLbl val="0"/>
      </c:catAx>
      <c:valAx>
        <c:axId val="684710400"/>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4710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GB" sz="1050" b="0">
                <a:effectLst/>
              </a:rPr>
              <a:t>Understanding of implementation of well-being goals in existing processes and practices</a:t>
            </a:r>
          </a:p>
        </c:rich>
      </c:tx>
      <c:layout>
        <c:manualLayout>
          <c:xMode val="edge"/>
          <c:yMode val="edge"/>
          <c:x val="0.12834481627296587"/>
          <c:y val="3.968253968253968E-3"/>
        </c:manualLayout>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bar"/>
        <c:grouping val="clustered"/>
        <c:varyColors val="0"/>
        <c:ser>
          <c:idx val="1"/>
          <c:order val="0"/>
          <c:tx>
            <c:strRef>
              <c:f>Sheet1!$C$1</c:f>
              <c:strCache>
                <c:ptCount val="1"/>
                <c:pt idx="0">
                  <c:v>Post-workshop</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WFGA</c:v>
                </c:pt>
              </c:strCache>
            </c:strRef>
          </c:cat>
          <c:val>
            <c:numRef>
              <c:f>Sheet1!$C$2</c:f>
              <c:numCache>
                <c:formatCode>0%</c:formatCode>
                <c:ptCount val="1"/>
                <c:pt idx="0">
                  <c:v>0.85</c:v>
                </c:pt>
              </c:numCache>
            </c:numRef>
          </c:val>
          <c:extLst>
            <c:ext xmlns:c16="http://schemas.microsoft.com/office/drawing/2014/chart" uri="{C3380CC4-5D6E-409C-BE32-E72D297353CC}">
              <c16:uniqueId val="{00000000-705C-6643-8FF7-79937456E7A6}"/>
            </c:ext>
          </c:extLst>
        </c:ser>
        <c:ser>
          <c:idx val="0"/>
          <c:order val="1"/>
          <c:tx>
            <c:strRef>
              <c:f>Sheet1!$B$1</c:f>
              <c:strCache>
                <c:ptCount val="1"/>
                <c:pt idx="0">
                  <c:v>Pre-workshop</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WFGA</c:v>
                </c:pt>
              </c:strCache>
            </c:strRef>
          </c:cat>
          <c:val>
            <c:numRef>
              <c:f>Sheet1!$B$2</c:f>
              <c:numCache>
                <c:formatCode>0%</c:formatCode>
                <c:ptCount val="1"/>
                <c:pt idx="0">
                  <c:v>0.75</c:v>
                </c:pt>
              </c:numCache>
            </c:numRef>
          </c:val>
          <c:extLst>
            <c:ext xmlns:c16="http://schemas.microsoft.com/office/drawing/2014/chart" uri="{C3380CC4-5D6E-409C-BE32-E72D297353CC}">
              <c16:uniqueId val="{00000001-705C-6643-8FF7-79937456E7A6}"/>
            </c:ext>
          </c:extLst>
        </c:ser>
        <c:dLbls>
          <c:dLblPos val="outEnd"/>
          <c:showLegendKey val="0"/>
          <c:showVal val="1"/>
          <c:showCatName val="0"/>
          <c:showSerName val="0"/>
          <c:showPercent val="0"/>
          <c:showBubbleSize val="0"/>
        </c:dLbls>
        <c:gapWidth val="182"/>
        <c:axId val="684711360"/>
        <c:axId val="220149919"/>
      </c:barChart>
      <c:catAx>
        <c:axId val="684711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0149919"/>
        <c:crosses val="autoZero"/>
        <c:auto val="1"/>
        <c:lblAlgn val="ctr"/>
        <c:lblOffset val="100"/>
        <c:noMultiLvlLbl val="0"/>
      </c:catAx>
      <c:valAx>
        <c:axId val="220149919"/>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47113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050"/>
              <a:t>Understanding</a:t>
            </a:r>
            <a:r>
              <a:rPr lang="en-GB" sz="1050" baseline="0"/>
              <a:t> of possible future implementation of well-being goals in new processes and practices</a:t>
            </a:r>
            <a:endParaRPr lang="en-GB" sz="105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8.5368547681539814E-2"/>
          <c:y val="0.22447056436785981"/>
          <c:w val="0.86885024788568099"/>
          <c:h val="0.5477156185171177"/>
        </c:manualLayout>
      </c:layout>
      <c:barChart>
        <c:barDir val="bar"/>
        <c:grouping val="clustered"/>
        <c:varyColors val="0"/>
        <c:ser>
          <c:idx val="1"/>
          <c:order val="0"/>
          <c:tx>
            <c:strRef>
              <c:f>Sheet1!$C$1</c:f>
              <c:strCache>
                <c:ptCount val="1"/>
                <c:pt idx="0">
                  <c:v>Post-workshop</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WFGA</c:v>
                </c:pt>
              </c:strCache>
            </c:strRef>
          </c:cat>
          <c:val>
            <c:numRef>
              <c:f>Sheet1!$C$2</c:f>
              <c:numCache>
                <c:formatCode>0%</c:formatCode>
                <c:ptCount val="1"/>
                <c:pt idx="0">
                  <c:v>0.84</c:v>
                </c:pt>
              </c:numCache>
            </c:numRef>
          </c:val>
          <c:extLst>
            <c:ext xmlns:c16="http://schemas.microsoft.com/office/drawing/2014/chart" uri="{C3380CC4-5D6E-409C-BE32-E72D297353CC}">
              <c16:uniqueId val="{00000000-903C-1141-9DDC-7B5CFEE6734B}"/>
            </c:ext>
          </c:extLst>
        </c:ser>
        <c:ser>
          <c:idx val="0"/>
          <c:order val="1"/>
          <c:tx>
            <c:strRef>
              <c:f>Sheet1!$B$1</c:f>
              <c:strCache>
                <c:ptCount val="1"/>
                <c:pt idx="0">
                  <c:v>Pre-workshop</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WFGA</c:v>
                </c:pt>
              </c:strCache>
            </c:strRef>
          </c:cat>
          <c:val>
            <c:numRef>
              <c:f>Sheet1!$B$2</c:f>
              <c:numCache>
                <c:formatCode>0%</c:formatCode>
                <c:ptCount val="1"/>
                <c:pt idx="0">
                  <c:v>0.65</c:v>
                </c:pt>
              </c:numCache>
            </c:numRef>
          </c:val>
          <c:extLst>
            <c:ext xmlns:c16="http://schemas.microsoft.com/office/drawing/2014/chart" uri="{C3380CC4-5D6E-409C-BE32-E72D297353CC}">
              <c16:uniqueId val="{00000001-903C-1141-9DDC-7B5CFEE6734B}"/>
            </c:ext>
          </c:extLst>
        </c:ser>
        <c:dLbls>
          <c:dLblPos val="outEnd"/>
          <c:showLegendKey val="0"/>
          <c:showVal val="1"/>
          <c:showCatName val="0"/>
          <c:showSerName val="0"/>
          <c:showPercent val="0"/>
          <c:showBubbleSize val="0"/>
        </c:dLbls>
        <c:gapWidth val="182"/>
        <c:axId val="220148479"/>
        <c:axId val="49399024"/>
      </c:barChart>
      <c:catAx>
        <c:axId val="22014847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399024"/>
        <c:crosses val="autoZero"/>
        <c:auto val="1"/>
        <c:lblAlgn val="ctr"/>
        <c:lblOffset val="100"/>
        <c:noMultiLvlLbl val="0"/>
      </c:catAx>
      <c:valAx>
        <c:axId val="4939902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014847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2052</Words>
  <Characters>13073</Characters>
  <Application>Microsoft Office Word</Application>
  <DocSecurity>0</DocSecurity>
  <Lines>217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Walpole, Gary</dc:creator>
  <cp:keywords/>
  <dc:description/>
  <cp:lastModifiedBy>Gary Walpole</cp:lastModifiedBy>
  <cp:revision>7</cp:revision>
  <dcterms:created xsi:type="dcterms:W3CDTF">2023-12-19T10:35:00Z</dcterms:created>
  <dcterms:modified xsi:type="dcterms:W3CDTF">2023-12-19T17:11:00Z</dcterms:modified>
</cp:coreProperties>
</file>