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AB752" w14:textId="77777777" w:rsidR="007A55F3" w:rsidRPr="00FA0C6B" w:rsidRDefault="007A55F3" w:rsidP="00FA0C6B">
      <w:pPr>
        <w:autoSpaceDE w:val="0"/>
        <w:autoSpaceDN w:val="0"/>
        <w:adjustRightInd w:val="0"/>
        <w:jc w:val="both"/>
        <w:rPr>
          <w:rFonts w:ascii="Calibri" w:eastAsiaTheme="minorHAnsi" w:hAnsi="Calibri" w:cs="Calibri"/>
          <w:b/>
          <w:bCs/>
          <w:sz w:val="22"/>
          <w:szCs w:val="22"/>
          <w:lang w:eastAsia="en-US"/>
          <w14:ligatures w14:val="standardContextual"/>
        </w:rPr>
      </w:pPr>
      <w:r w:rsidRPr="00FA0C6B">
        <w:rPr>
          <w:rFonts w:ascii="Calibri" w:eastAsiaTheme="minorHAnsi" w:hAnsi="Calibri" w:cs="Calibri"/>
          <w:b/>
          <w:bCs/>
          <w:sz w:val="22"/>
          <w:szCs w:val="22"/>
          <w:lang w:eastAsia="en-US"/>
          <w14:ligatures w14:val="standardContextual"/>
        </w:rPr>
        <w:t>Adventure Sport Tourism in Wales: Assessing the role, impact and development of Welsh language use</w:t>
      </w:r>
    </w:p>
    <w:p w14:paraId="5217A6CB" w14:textId="77777777" w:rsidR="007A55F3" w:rsidRPr="00FA0C6B" w:rsidRDefault="007A55F3" w:rsidP="00FA0C6B">
      <w:pPr>
        <w:autoSpaceDE w:val="0"/>
        <w:autoSpaceDN w:val="0"/>
        <w:adjustRightInd w:val="0"/>
        <w:jc w:val="both"/>
        <w:rPr>
          <w:rFonts w:ascii="Calibri" w:eastAsiaTheme="minorHAnsi" w:hAnsi="Calibri" w:cs="Calibri"/>
          <w:b/>
          <w:bCs/>
          <w:sz w:val="22"/>
          <w:szCs w:val="22"/>
          <w:lang w:eastAsia="en-US"/>
          <w14:ligatures w14:val="standardContextual"/>
        </w:rPr>
      </w:pPr>
    </w:p>
    <w:p w14:paraId="1A773CBB" w14:textId="1119EA81" w:rsidR="00411210" w:rsidRPr="00FA0C6B" w:rsidRDefault="00411210" w:rsidP="00FA0C6B">
      <w:pPr>
        <w:pStyle w:val="paragraph"/>
        <w:spacing w:before="0" w:beforeAutospacing="0" w:after="0" w:afterAutospacing="0"/>
        <w:jc w:val="both"/>
        <w:textAlignment w:val="baseline"/>
        <w:rPr>
          <w:rFonts w:ascii="Calibri" w:hAnsi="Calibri" w:cs="Calibri"/>
          <w:sz w:val="22"/>
          <w:szCs w:val="22"/>
        </w:rPr>
      </w:pPr>
      <w:r w:rsidRPr="00FA0C6B">
        <w:rPr>
          <w:rStyle w:val="normaltextrun"/>
          <w:rFonts w:ascii="Calibri" w:hAnsi="Calibri" w:cs="Calibri"/>
          <w:sz w:val="22"/>
          <w:szCs w:val="22"/>
        </w:rPr>
        <w:t>Olivia Bear</w:t>
      </w:r>
      <w:r w:rsidRPr="00FA0C6B">
        <w:rPr>
          <w:rStyle w:val="normaltextrun"/>
          <w:rFonts w:ascii="Calibri" w:hAnsi="Calibri" w:cs="Calibri"/>
          <w:sz w:val="22"/>
          <w:szCs w:val="22"/>
          <w:vertAlign w:val="superscript"/>
        </w:rPr>
        <w:t>a</w:t>
      </w:r>
      <w:r w:rsidR="00F2737E" w:rsidRPr="00FA0C6B">
        <w:rPr>
          <w:rStyle w:val="normaltextrun"/>
          <w:rFonts w:ascii="Calibri" w:hAnsi="Calibri" w:cs="Calibri"/>
          <w:sz w:val="22"/>
          <w:szCs w:val="22"/>
          <w:vertAlign w:val="superscript"/>
        </w:rPr>
        <w:t xml:space="preserve">, </w:t>
      </w:r>
      <w:r w:rsidR="00F2737E" w:rsidRPr="00FA0C6B">
        <w:rPr>
          <w:rFonts w:ascii="Calibri" w:hAnsi="Calibri" w:cs="Calibri"/>
          <w:sz w:val="22"/>
          <w:szCs w:val="22"/>
        </w:rPr>
        <w:t>Alun Hardman</w:t>
      </w:r>
      <w:r w:rsidR="00F2737E" w:rsidRPr="00FA0C6B">
        <w:rPr>
          <w:rStyle w:val="normaltextrun"/>
          <w:rFonts w:ascii="Calibri" w:hAnsi="Calibri" w:cs="Calibri"/>
          <w:sz w:val="22"/>
          <w:szCs w:val="22"/>
          <w:vertAlign w:val="superscript"/>
        </w:rPr>
        <w:t xml:space="preserve">a, </w:t>
      </w:r>
      <w:r w:rsidR="00F2737E" w:rsidRPr="00FA0C6B">
        <w:rPr>
          <w:rFonts w:ascii="Calibri" w:hAnsi="Calibri" w:cs="Calibri"/>
          <w:sz w:val="22"/>
          <w:szCs w:val="22"/>
        </w:rPr>
        <w:t>Lana St Le</w:t>
      </w:r>
      <w:r w:rsidR="00797648" w:rsidRPr="00FA0C6B">
        <w:rPr>
          <w:rFonts w:ascii="Calibri" w:hAnsi="Calibri" w:cs="Calibri"/>
          <w:sz w:val="22"/>
          <w:szCs w:val="22"/>
        </w:rPr>
        <w:t>ger</w:t>
      </w:r>
      <w:r w:rsidR="00797648" w:rsidRPr="00FA0C6B">
        <w:rPr>
          <w:rStyle w:val="normaltextrun"/>
          <w:rFonts w:ascii="Calibri" w:hAnsi="Calibri" w:cs="Calibri"/>
          <w:sz w:val="22"/>
          <w:szCs w:val="22"/>
          <w:vertAlign w:val="superscript"/>
        </w:rPr>
        <w:t xml:space="preserve">b, </w:t>
      </w:r>
      <w:r w:rsidR="00797648" w:rsidRPr="00FA0C6B">
        <w:rPr>
          <w:rFonts w:ascii="Calibri" w:hAnsi="Calibri" w:cs="Calibri"/>
          <w:sz w:val="22"/>
          <w:szCs w:val="22"/>
        </w:rPr>
        <w:t>George Jennings</w:t>
      </w:r>
      <w:r w:rsidR="00797648" w:rsidRPr="00FA0C6B">
        <w:rPr>
          <w:rStyle w:val="normaltextrun"/>
          <w:rFonts w:ascii="Calibri" w:hAnsi="Calibri" w:cs="Calibri"/>
          <w:i/>
          <w:iCs/>
          <w:sz w:val="22"/>
          <w:szCs w:val="22"/>
          <w:vertAlign w:val="superscript"/>
        </w:rPr>
        <w:t>a</w:t>
      </w:r>
    </w:p>
    <w:p w14:paraId="6B619C09" w14:textId="7BF8F191" w:rsidR="00411210" w:rsidRPr="00FA0C6B" w:rsidRDefault="00411210" w:rsidP="00FA0C6B">
      <w:pPr>
        <w:pStyle w:val="paragraph"/>
        <w:spacing w:before="0" w:beforeAutospacing="0" w:after="0" w:afterAutospacing="0"/>
        <w:jc w:val="both"/>
        <w:textAlignment w:val="baseline"/>
        <w:rPr>
          <w:rStyle w:val="eop"/>
          <w:rFonts w:ascii="Calibri" w:hAnsi="Calibri" w:cs="Calibri"/>
          <w:i/>
          <w:iCs/>
          <w:sz w:val="22"/>
          <w:szCs w:val="22"/>
        </w:rPr>
      </w:pPr>
      <w:r w:rsidRPr="00FA0C6B">
        <w:rPr>
          <w:rStyle w:val="normaltextrun"/>
          <w:rFonts w:ascii="Calibri" w:hAnsi="Calibri" w:cs="Calibri"/>
          <w:i/>
          <w:iCs/>
          <w:sz w:val="22"/>
          <w:szCs w:val="22"/>
          <w:vertAlign w:val="superscript"/>
        </w:rPr>
        <w:t xml:space="preserve">a </w:t>
      </w:r>
      <w:r w:rsidRPr="00FA0C6B">
        <w:rPr>
          <w:rStyle w:val="normaltextrun"/>
          <w:rFonts w:ascii="Calibri" w:hAnsi="Calibri" w:cs="Calibri"/>
          <w:i/>
          <w:iCs/>
          <w:sz w:val="22"/>
          <w:szCs w:val="22"/>
        </w:rPr>
        <w:t>Cardiff School of Sport and Health Sciences, Cardiff Metropolitan University, Cardiff, Wales.</w:t>
      </w:r>
      <w:r w:rsidRPr="00FA0C6B">
        <w:rPr>
          <w:rStyle w:val="eop"/>
          <w:rFonts w:ascii="Calibri" w:hAnsi="Calibri" w:cs="Calibri"/>
          <w:i/>
          <w:iCs/>
          <w:sz w:val="22"/>
          <w:szCs w:val="22"/>
        </w:rPr>
        <w:t> </w:t>
      </w:r>
    </w:p>
    <w:p w14:paraId="2A258745" w14:textId="3D6A5ABC" w:rsidR="004163E1" w:rsidRPr="00FA0C6B" w:rsidRDefault="004163E1" w:rsidP="00FA0C6B">
      <w:pPr>
        <w:pStyle w:val="paragraph"/>
        <w:spacing w:before="0" w:beforeAutospacing="0" w:after="0" w:afterAutospacing="0"/>
        <w:jc w:val="both"/>
        <w:textAlignment w:val="baseline"/>
        <w:rPr>
          <w:rStyle w:val="normaltextrun"/>
          <w:rFonts w:ascii="Calibri" w:hAnsi="Calibri" w:cs="Calibri"/>
          <w:i/>
          <w:iCs/>
          <w:sz w:val="22"/>
          <w:szCs w:val="22"/>
        </w:rPr>
      </w:pPr>
      <w:r w:rsidRPr="00FA0C6B">
        <w:rPr>
          <w:rStyle w:val="normaltextrun"/>
          <w:rFonts w:ascii="Calibri" w:hAnsi="Calibri" w:cs="Calibri"/>
          <w:i/>
          <w:iCs/>
          <w:sz w:val="22"/>
          <w:szCs w:val="22"/>
          <w:vertAlign w:val="superscript"/>
        </w:rPr>
        <w:t xml:space="preserve">b </w:t>
      </w:r>
      <w:r w:rsidRPr="00FA0C6B">
        <w:rPr>
          <w:rStyle w:val="normaltextrun"/>
          <w:rFonts w:ascii="Calibri" w:hAnsi="Calibri" w:cs="Calibri"/>
          <w:i/>
          <w:iCs/>
          <w:sz w:val="22"/>
          <w:szCs w:val="22"/>
        </w:rPr>
        <w:t>Cardiff School of Management, Cardiff Metropolitan University, Cardiff, Wales.</w:t>
      </w:r>
      <w:r w:rsidRPr="00FA0C6B">
        <w:rPr>
          <w:rStyle w:val="eop"/>
          <w:rFonts w:ascii="Calibri" w:hAnsi="Calibri" w:cs="Calibri"/>
          <w:i/>
          <w:iCs/>
          <w:sz w:val="22"/>
          <w:szCs w:val="22"/>
        </w:rPr>
        <w:t> </w:t>
      </w:r>
    </w:p>
    <w:p w14:paraId="1AABF7C3" w14:textId="523AB191" w:rsidR="00411210" w:rsidRPr="00FA0C6B" w:rsidRDefault="00411210" w:rsidP="00FA0C6B">
      <w:pPr>
        <w:pStyle w:val="paragraph"/>
        <w:spacing w:before="0" w:beforeAutospacing="0" w:after="0" w:afterAutospacing="0"/>
        <w:jc w:val="both"/>
        <w:textAlignment w:val="baseline"/>
        <w:rPr>
          <w:rStyle w:val="normaltextrun"/>
          <w:rFonts w:ascii="Calibri" w:hAnsi="Calibri" w:cs="Calibri"/>
          <w:sz w:val="22"/>
          <w:szCs w:val="22"/>
        </w:rPr>
      </w:pPr>
    </w:p>
    <w:p w14:paraId="524CBC4B" w14:textId="58F88E0F" w:rsidR="00411210" w:rsidRPr="00FA0C6B" w:rsidRDefault="00411210" w:rsidP="00FA0C6B">
      <w:pPr>
        <w:pStyle w:val="paragraph"/>
        <w:spacing w:before="0" w:beforeAutospacing="0" w:after="0" w:afterAutospacing="0"/>
        <w:jc w:val="both"/>
        <w:textAlignment w:val="baseline"/>
        <w:rPr>
          <w:rStyle w:val="eop"/>
          <w:rFonts w:ascii="Calibri" w:hAnsi="Calibri" w:cs="Calibri"/>
          <w:sz w:val="22"/>
          <w:szCs w:val="22"/>
        </w:rPr>
      </w:pPr>
      <w:r w:rsidRPr="00FA0C6B">
        <w:rPr>
          <w:rStyle w:val="normaltextrun"/>
          <w:rFonts w:ascii="Calibri" w:hAnsi="Calibri" w:cs="Calibri"/>
          <w:color w:val="000000"/>
          <w:sz w:val="22"/>
          <w:szCs w:val="22"/>
        </w:rPr>
        <w:t xml:space="preserve">Corresponding author: </w:t>
      </w:r>
      <w:r w:rsidR="003026B3" w:rsidRPr="00FA0C6B">
        <w:rPr>
          <w:rStyle w:val="normaltextrun"/>
          <w:rFonts w:ascii="Calibri" w:hAnsi="Calibri" w:cs="Calibri"/>
          <w:color w:val="000000"/>
          <w:sz w:val="22"/>
          <w:szCs w:val="22"/>
        </w:rPr>
        <w:t xml:space="preserve">Olivia Bear </w:t>
      </w:r>
      <w:hyperlink r:id="rId6" w:history="1">
        <w:r w:rsidR="003026B3" w:rsidRPr="00FA0C6B">
          <w:rPr>
            <w:rStyle w:val="Hyperlink"/>
            <w:rFonts w:ascii="Calibri" w:hAnsi="Calibri" w:cs="Calibri"/>
            <w:sz w:val="22"/>
            <w:szCs w:val="22"/>
          </w:rPr>
          <w:t>st20172207@outlook.cardiffmet.ac.uk</w:t>
        </w:r>
      </w:hyperlink>
      <w:r w:rsidR="003026B3" w:rsidRPr="00FA0C6B">
        <w:rPr>
          <w:rStyle w:val="normaltextrun"/>
          <w:rFonts w:ascii="Calibri" w:hAnsi="Calibri" w:cs="Calibri"/>
          <w:color w:val="000000"/>
          <w:sz w:val="22"/>
          <w:szCs w:val="22"/>
        </w:rPr>
        <w:t xml:space="preserve"> </w:t>
      </w:r>
    </w:p>
    <w:p w14:paraId="64E07BE2" w14:textId="77777777" w:rsidR="00411210" w:rsidRPr="00FA0C6B" w:rsidRDefault="00411210" w:rsidP="00FA0C6B">
      <w:pPr>
        <w:pStyle w:val="paragraph"/>
        <w:spacing w:before="0" w:beforeAutospacing="0" w:after="0" w:afterAutospacing="0"/>
        <w:jc w:val="both"/>
        <w:textAlignment w:val="baseline"/>
        <w:rPr>
          <w:rStyle w:val="normaltextrun"/>
          <w:rFonts w:ascii="Calibri" w:hAnsi="Calibri" w:cs="Calibri"/>
          <w:sz w:val="22"/>
          <w:szCs w:val="22"/>
        </w:rPr>
      </w:pPr>
    </w:p>
    <w:p w14:paraId="12FD89DC" w14:textId="10033213" w:rsidR="00411210" w:rsidRPr="00FA0C6B" w:rsidRDefault="00411210" w:rsidP="00FA0C6B">
      <w:pPr>
        <w:spacing w:line="276" w:lineRule="auto"/>
        <w:jc w:val="both"/>
        <w:rPr>
          <w:rStyle w:val="normaltextrun"/>
          <w:rFonts w:ascii="Calibri" w:hAnsi="Calibri" w:cs="Calibri"/>
          <w:sz w:val="22"/>
          <w:szCs w:val="22"/>
        </w:rPr>
      </w:pPr>
      <w:r w:rsidRPr="00FA0C6B">
        <w:rPr>
          <w:rStyle w:val="normaltextrun"/>
          <w:rFonts w:ascii="Calibri" w:hAnsi="Calibri" w:cs="Calibri"/>
          <w:sz w:val="22"/>
          <w:szCs w:val="22"/>
        </w:rPr>
        <w:t xml:space="preserve">Key words: </w:t>
      </w:r>
      <w:r w:rsidR="008E0567" w:rsidRPr="00FA0C6B">
        <w:rPr>
          <w:rStyle w:val="normaltextrun"/>
          <w:rFonts w:ascii="Calibri" w:hAnsi="Calibri" w:cs="Calibri"/>
          <w:sz w:val="22"/>
          <w:szCs w:val="22"/>
        </w:rPr>
        <w:t xml:space="preserve">Adventure Sport Tourism, </w:t>
      </w:r>
      <w:r w:rsidR="005E3D85" w:rsidRPr="00FA0C6B">
        <w:rPr>
          <w:rStyle w:val="normaltextrun"/>
          <w:rFonts w:ascii="Calibri" w:hAnsi="Calibri" w:cs="Calibri"/>
          <w:sz w:val="22"/>
          <w:szCs w:val="22"/>
        </w:rPr>
        <w:t xml:space="preserve">Welsh Language, Rural Communities, Economy </w:t>
      </w:r>
    </w:p>
    <w:p w14:paraId="300E9609" w14:textId="77777777" w:rsidR="003D1B06" w:rsidRPr="00FA0C6B" w:rsidRDefault="003D1B06" w:rsidP="00FA0C6B">
      <w:pPr>
        <w:autoSpaceDE w:val="0"/>
        <w:autoSpaceDN w:val="0"/>
        <w:adjustRightInd w:val="0"/>
        <w:jc w:val="both"/>
        <w:rPr>
          <w:rFonts w:ascii="Calibri" w:eastAsiaTheme="minorHAnsi" w:hAnsi="Calibri" w:cs="Calibri"/>
          <w:sz w:val="22"/>
          <w:szCs w:val="22"/>
          <w:lang w:eastAsia="en-US"/>
          <w14:ligatures w14:val="standardContextual"/>
        </w:rPr>
      </w:pPr>
    </w:p>
    <w:p w14:paraId="7A25EC29" w14:textId="418110EF" w:rsidR="00F2113A" w:rsidRPr="00FA0C6B" w:rsidRDefault="00EC1F0F" w:rsidP="00FA0C6B">
      <w:pPr>
        <w:autoSpaceDE w:val="0"/>
        <w:autoSpaceDN w:val="0"/>
        <w:adjustRightInd w:val="0"/>
        <w:jc w:val="both"/>
        <w:rPr>
          <w:rFonts w:ascii="Calibri" w:eastAsiaTheme="minorHAnsi" w:hAnsi="Calibri" w:cs="Calibri"/>
          <w:sz w:val="22"/>
          <w:szCs w:val="22"/>
          <w:lang w:eastAsia="en-US"/>
          <w14:ligatures w14:val="standardContextual"/>
        </w:rPr>
      </w:pPr>
      <w:r w:rsidRPr="00FA0C6B">
        <w:rPr>
          <w:rFonts w:ascii="Calibri" w:eastAsiaTheme="minorHAnsi" w:hAnsi="Calibri" w:cs="Calibri"/>
          <w:sz w:val="22"/>
          <w:szCs w:val="22"/>
          <w:lang w:eastAsia="en-US"/>
          <w14:ligatures w14:val="standardContextual"/>
        </w:rPr>
        <w:t>The value of AST for revitalising rural economies has been widely recognised</w:t>
      </w:r>
      <w:r w:rsidR="00080551" w:rsidRPr="00FA0C6B">
        <w:rPr>
          <w:rFonts w:ascii="Calibri" w:eastAsiaTheme="minorHAnsi" w:hAnsi="Calibri" w:cs="Calibri"/>
          <w:sz w:val="22"/>
          <w:szCs w:val="22"/>
          <w:lang w:eastAsia="en-US"/>
          <w14:ligatures w14:val="standardContextual"/>
        </w:rPr>
        <w:t xml:space="preserve"> (</w:t>
      </w:r>
      <w:r w:rsidR="00080551" w:rsidRPr="00FA0C6B">
        <w:rPr>
          <w:rStyle w:val="normaltextrun"/>
          <w:rFonts w:ascii="Calibri" w:hAnsi="Calibri" w:cs="Calibri"/>
          <w:color w:val="000000"/>
          <w:sz w:val="22"/>
          <w:szCs w:val="22"/>
          <w:shd w:val="clear" w:color="auto" w:fill="FFFFFF"/>
        </w:rPr>
        <w:t>Costa and Chalip, 2005)</w:t>
      </w:r>
      <w:r w:rsidRPr="00FA0C6B">
        <w:rPr>
          <w:rFonts w:ascii="Calibri" w:eastAsiaTheme="minorHAnsi" w:hAnsi="Calibri" w:cs="Calibri"/>
          <w:sz w:val="22"/>
          <w:szCs w:val="22"/>
          <w:lang w:eastAsia="en-US"/>
          <w14:ligatures w14:val="standardContextual"/>
        </w:rPr>
        <w:t>. Beyond economic worth, AST provision has long been associated with individual wellness and lifestyle, the educational development of children and adolescents, and a mechanism for teambuilding and co-operation for employers</w:t>
      </w:r>
      <w:r w:rsidR="00C04472" w:rsidRPr="00FA0C6B">
        <w:rPr>
          <w:rFonts w:ascii="Calibri" w:eastAsiaTheme="minorHAnsi" w:hAnsi="Calibri" w:cs="Calibri"/>
          <w:sz w:val="22"/>
          <w:szCs w:val="22"/>
          <w:lang w:eastAsia="en-US"/>
          <w14:ligatures w14:val="standardContextual"/>
        </w:rPr>
        <w:t xml:space="preserve"> </w:t>
      </w:r>
      <w:r w:rsidR="00C04472" w:rsidRPr="00FA0C6B">
        <w:rPr>
          <w:rStyle w:val="normaltextrun"/>
          <w:rFonts w:ascii="Calibri" w:hAnsi="Calibri" w:cs="Calibri"/>
          <w:color w:val="000000"/>
          <w:sz w:val="22"/>
          <w:szCs w:val="22"/>
          <w:bdr w:val="none" w:sz="0" w:space="0" w:color="auto" w:frame="1"/>
          <w:lang w:val="en-US"/>
        </w:rPr>
        <w:t>(Finch &amp; Legg, 2019)</w:t>
      </w:r>
      <w:r w:rsidRPr="00FA0C6B">
        <w:rPr>
          <w:rFonts w:ascii="Calibri" w:eastAsiaTheme="minorHAnsi" w:hAnsi="Calibri" w:cs="Calibri"/>
          <w:sz w:val="22"/>
          <w:szCs w:val="22"/>
          <w:lang w:eastAsia="en-US"/>
          <w14:ligatures w14:val="standardContextual"/>
        </w:rPr>
        <w:t>.</w:t>
      </w:r>
      <w:r w:rsidR="00687419" w:rsidRPr="00FA0C6B">
        <w:rPr>
          <w:rFonts w:ascii="Calibri" w:eastAsiaTheme="minorHAnsi" w:hAnsi="Calibri" w:cs="Calibri"/>
          <w:sz w:val="22"/>
          <w:szCs w:val="22"/>
          <w:lang w:eastAsia="en-US"/>
          <w14:ligatures w14:val="standardContextual"/>
        </w:rPr>
        <w:t xml:space="preserve">  </w:t>
      </w:r>
      <w:r w:rsidR="00C04472" w:rsidRPr="00FA0C6B">
        <w:rPr>
          <w:rFonts w:ascii="Calibri" w:eastAsiaTheme="minorHAnsi" w:hAnsi="Calibri" w:cs="Calibri"/>
          <w:sz w:val="22"/>
          <w:szCs w:val="22"/>
          <w:lang w:eastAsia="en-US"/>
          <w14:ligatures w14:val="standardContextual"/>
        </w:rPr>
        <w:t>Th</w:t>
      </w:r>
      <w:r w:rsidR="006F419C" w:rsidRPr="00FA0C6B">
        <w:rPr>
          <w:rFonts w:ascii="Calibri" w:eastAsiaTheme="minorHAnsi" w:hAnsi="Calibri" w:cs="Calibri"/>
          <w:sz w:val="22"/>
          <w:szCs w:val="22"/>
          <w:lang w:eastAsia="en-US"/>
          <w14:ligatures w14:val="standardContextual"/>
        </w:rPr>
        <w:t xml:space="preserve">e aim of this </w:t>
      </w:r>
      <w:r w:rsidR="00C04472" w:rsidRPr="00FA0C6B">
        <w:rPr>
          <w:rFonts w:ascii="Calibri" w:eastAsiaTheme="minorHAnsi" w:hAnsi="Calibri" w:cs="Calibri"/>
          <w:sz w:val="22"/>
          <w:szCs w:val="22"/>
          <w:lang w:eastAsia="en-US"/>
          <w14:ligatures w14:val="standardContextual"/>
        </w:rPr>
        <w:t xml:space="preserve">PhD research </w:t>
      </w:r>
      <w:r w:rsidR="006F419C" w:rsidRPr="00FA0C6B">
        <w:rPr>
          <w:rFonts w:ascii="Calibri" w:eastAsiaTheme="minorHAnsi" w:hAnsi="Calibri" w:cs="Calibri"/>
          <w:sz w:val="22"/>
          <w:szCs w:val="22"/>
          <w:lang w:eastAsia="en-US"/>
          <w14:ligatures w14:val="standardContextual"/>
        </w:rPr>
        <w:t>is to i</w:t>
      </w:r>
      <w:r w:rsidR="00C04472" w:rsidRPr="00FA0C6B">
        <w:rPr>
          <w:rFonts w:ascii="Calibri" w:eastAsiaTheme="minorHAnsi" w:hAnsi="Calibri" w:cs="Calibri"/>
          <w:sz w:val="22"/>
          <w:szCs w:val="22"/>
          <w:lang w:eastAsia="en-US"/>
          <w14:ligatures w14:val="standardContextual"/>
        </w:rPr>
        <w:t xml:space="preserve">dentify and evaluate how Welsh language is currently used within the sphere of Adventure Sport Tourism (AST) and will explore the potential social, </w:t>
      </w:r>
      <w:r w:rsidR="001050BC" w:rsidRPr="00FA0C6B">
        <w:rPr>
          <w:rFonts w:ascii="Calibri" w:eastAsiaTheme="minorHAnsi" w:hAnsi="Calibri" w:cs="Calibri"/>
          <w:sz w:val="22"/>
          <w:szCs w:val="22"/>
          <w:lang w:eastAsia="en-US"/>
          <w14:ligatures w14:val="standardContextual"/>
        </w:rPr>
        <w:t>cultural,</w:t>
      </w:r>
      <w:r w:rsidR="00C04472" w:rsidRPr="00FA0C6B">
        <w:rPr>
          <w:rFonts w:ascii="Calibri" w:eastAsiaTheme="minorHAnsi" w:hAnsi="Calibri" w:cs="Calibri"/>
          <w:sz w:val="22"/>
          <w:szCs w:val="22"/>
          <w:lang w:eastAsia="en-US"/>
          <w14:ligatures w14:val="standardContextual"/>
        </w:rPr>
        <w:t xml:space="preserve"> and professional contribution that the language can make in this field. </w:t>
      </w:r>
      <w:r w:rsidR="00F241BB" w:rsidRPr="00FA0C6B">
        <w:rPr>
          <w:rFonts w:ascii="Calibri" w:eastAsiaTheme="minorHAnsi" w:hAnsi="Calibri" w:cs="Calibri"/>
          <w:sz w:val="22"/>
          <w:szCs w:val="22"/>
          <w:lang w:eastAsia="en-US"/>
          <w14:ligatures w14:val="standardContextual"/>
        </w:rPr>
        <w:t>This paper</w:t>
      </w:r>
      <w:r w:rsidRPr="00FA0C6B">
        <w:rPr>
          <w:rFonts w:ascii="Calibri" w:eastAsiaTheme="minorHAnsi" w:hAnsi="Calibri" w:cs="Calibri"/>
          <w:sz w:val="22"/>
          <w:szCs w:val="22"/>
          <w:lang w:eastAsia="en-US"/>
          <w14:ligatures w14:val="standardContextual"/>
        </w:rPr>
        <w:t xml:space="preserve"> presents </w:t>
      </w:r>
      <w:r w:rsidR="00947E1E" w:rsidRPr="00FA0C6B">
        <w:rPr>
          <w:rFonts w:ascii="Calibri" w:eastAsiaTheme="minorHAnsi" w:hAnsi="Calibri" w:cs="Calibri"/>
          <w:sz w:val="22"/>
          <w:szCs w:val="22"/>
          <w:lang w:eastAsia="en-US"/>
          <w14:ligatures w14:val="standardContextual"/>
        </w:rPr>
        <w:t xml:space="preserve">the review of literature </w:t>
      </w:r>
      <w:r w:rsidR="00324DA7">
        <w:rPr>
          <w:rFonts w:ascii="Calibri" w:eastAsiaTheme="minorHAnsi" w:hAnsi="Calibri" w:cs="Calibri"/>
          <w:sz w:val="22"/>
          <w:szCs w:val="22"/>
          <w:lang w:eastAsia="en-US"/>
          <w14:ligatures w14:val="standardContextual"/>
        </w:rPr>
        <w:t>focused on</w:t>
      </w:r>
      <w:r w:rsidR="00491885">
        <w:rPr>
          <w:rFonts w:ascii="Calibri" w:eastAsiaTheme="minorHAnsi" w:hAnsi="Calibri" w:cs="Calibri"/>
          <w:sz w:val="22"/>
          <w:szCs w:val="22"/>
          <w:lang w:eastAsia="en-US"/>
          <w14:ligatures w14:val="standardContextual"/>
        </w:rPr>
        <w:t xml:space="preserve"> a current key challenge in Wales, </w:t>
      </w:r>
      <w:r w:rsidR="00947E1E" w:rsidRPr="00FA0C6B">
        <w:rPr>
          <w:rFonts w:ascii="Calibri" w:eastAsiaTheme="minorHAnsi" w:hAnsi="Calibri" w:cs="Calibri"/>
          <w:sz w:val="22"/>
          <w:szCs w:val="22"/>
          <w:lang w:eastAsia="en-US"/>
          <w14:ligatures w14:val="standardContextual"/>
        </w:rPr>
        <w:t xml:space="preserve">undertaken to develop </w:t>
      </w:r>
      <w:r w:rsidR="00C04472" w:rsidRPr="00FA0C6B">
        <w:rPr>
          <w:rFonts w:ascii="Calibri" w:eastAsiaTheme="minorHAnsi" w:hAnsi="Calibri" w:cs="Calibri"/>
          <w:sz w:val="22"/>
          <w:szCs w:val="22"/>
          <w:lang w:eastAsia="en-US"/>
          <w14:ligatures w14:val="standardContextual"/>
        </w:rPr>
        <w:t xml:space="preserve">the </w:t>
      </w:r>
      <w:r w:rsidR="00F2113A" w:rsidRPr="00FA0C6B">
        <w:rPr>
          <w:rFonts w:ascii="Calibri" w:eastAsiaTheme="minorHAnsi" w:hAnsi="Calibri" w:cs="Calibri"/>
          <w:sz w:val="22"/>
          <w:szCs w:val="22"/>
          <w:lang w:eastAsia="en-US"/>
          <w14:ligatures w14:val="standardContextual"/>
        </w:rPr>
        <w:t>research design to explore this further.</w:t>
      </w:r>
      <w:r w:rsidR="005B0C31" w:rsidRPr="00FA0C6B">
        <w:rPr>
          <w:rFonts w:ascii="Calibri" w:eastAsiaTheme="minorHAnsi" w:hAnsi="Calibri" w:cs="Calibri"/>
          <w:sz w:val="22"/>
          <w:szCs w:val="22"/>
          <w:lang w:eastAsia="en-US"/>
          <w14:ligatures w14:val="standardContextual"/>
        </w:rPr>
        <w:t xml:space="preserve"> </w:t>
      </w:r>
    </w:p>
    <w:p w14:paraId="36900467" w14:textId="77777777" w:rsidR="003D1B06" w:rsidRPr="00FA0C6B" w:rsidRDefault="003D1B06" w:rsidP="00FA0C6B">
      <w:pPr>
        <w:autoSpaceDE w:val="0"/>
        <w:autoSpaceDN w:val="0"/>
        <w:adjustRightInd w:val="0"/>
        <w:jc w:val="both"/>
        <w:rPr>
          <w:rFonts w:ascii="Calibri" w:eastAsiaTheme="minorHAnsi" w:hAnsi="Calibri" w:cs="Calibri"/>
          <w:sz w:val="22"/>
          <w:szCs w:val="22"/>
          <w:lang w:eastAsia="en-US"/>
          <w14:ligatures w14:val="standardContextual"/>
        </w:rPr>
      </w:pPr>
    </w:p>
    <w:p w14:paraId="2DB7FF06" w14:textId="1BB14E01" w:rsidR="00D937AB" w:rsidRPr="00FA0C6B" w:rsidRDefault="00443A40" w:rsidP="00FA0C6B">
      <w:pPr>
        <w:autoSpaceDE w:val="0"/>
        <w:autoSpaceDN w:val="0"/>
        <w:adjustRightInd w:val="0"/>
        <w:jc w:val="both"/>
        <w:rPr>
          <w:rFonts w:ascii="Calibri" w:eastAsiaTheme="minorHAnsi" w:hAnsi="Calibri" w:cs="Calibri"/>
          <w:sz w:val="22"/>
          <w:szCs w:val="22"/>
          <w:lang w:eastAsia="en-US"/>
          <w14:ligatures w14:val="standardContextual"/>
        </w:rPr>
      </w:pPr>
      <w:r w:rsidRPr="00FA0C6B">
        <w:rPr>
          <w:rFonts w:ascii="Calibri" w:eastAsiaTheme="minorHAnsi" w:hAnsi="Calibri" w:cs="Calibri"/>
          <w:sz w:val="22"/>
          <w:szCs w:val="22"/>
          <w:lang w:eastAsia="en-US"/>
          <w14:ligatures w14:val="standardContextual"/>
        </w:rPr>
        <w:t>Outdoor activity tourism in Wales is booming, contributing up to 6% of the Welsh economy in 2013 and over 8,000 FTE positions (White &amp; Smith, 2014). With 2,700km of coastline and 26% of the land area designated as protected landscapes, Wales’ natural resources for outdoor sports are world class (Muskett, 2019).</w:t>
      </w:r>
      <w:r w:rsidR="00512E71" w:rsidRPr="00FA0C6B">
        <w:rPr>
          <w:rFonts w:ascii="Calibri" w:eastAsiaTheme="minorHAnsi" w:hAnsi="Calibri" w:cs="Calibri"/>
          <w:sz w:val="22"/>
          <w:szCs w:val="22"/>
          <w:lang w:eastAsia="en-US"/>
          <w14:ligatures w14:val="standardContextual"/>
        </w:rPr>
        <w:t xml:space="preserve">  </w:t>
      </w:r>
      <w:r w:rsidR="009F2D73" w:rsidRPr="00FA0C6B">
        <w:rPr>
          <w:rFonts w:ascii="Calibri" w:eastAsiaTheme="minorHAnsi" w:hAnsi="Calibri" w:cs="Calibri"/>
          <w:sz w:val="22"/>
          <w:szCs w:val="22"/>
          <w:lang w:eastAsia="en-US"/>
          <w14:ligatures w14:val="standardContextual"/>
        </w:rPr>
        <w:t xml:space="preserve">There is a clear understanding amongst researchers and the global tourism industry that adventure tourism has a major role to play in destinations (Swarbrooke, Beard, Leckie &amp; Pomfret, 2003), where it </w:t>
      </w:r>
      <w:r w:rsidR="00B16473" w:rsidRPr="00FA0C6B">
        <w:rPr>
          <w:rFonts w:ascii="Calibri" w:eastAsiaTheme="minorHAnsi" w:hAnsi="Calibri" w:cs="Calibri"/>
          <w:sz w:val="22"/>
          <w:szCs w:val="22"/>
          <w:lang w:eastAsia="en-US"/>
          <w14:ligatures w14:val="standardContextual"/>
        </w:rPr>
        <w:t>can</w:t>
      </w:r>
      <w:r w:rsidR="009F2D73" w:rsidRPr="00FA0C6B">
        <w:rPr>
          <w:rFonts w:ascii="Calibri" w:eastAsiaTheme="minorHAnsi" w:hAnsi="Calibri" w:cs="Calibri"/>
          <w:sz w:val="22"/>
          <w:szCs w:val="22"/>
          <w:lang w:eastAsia="en-US"/>
          <w14:ligatures w14:val="standardContextual"/>
        </w:rPr>
        <w:t xml:space="preserve"> harness the interconnections between sport and tourism (Page, Steele &amp; Connell, 2006).</w:t>
      </w:r>
    </w:p>
    <w:p w14:paraId="540154D7" w14:textId="77777777" w:rsidR="00783379" w:rsidRPr="00FA0C6B" w:rsidRDefault="00783379" w:rsidP="00FA0C6B">
      <w:pPr>
        <w:jc w:val="both"/>
        <w:rPr>
          <w:rFonts w:ascii="Calibri" w:eastAsiaTheme="minorHAnsi" w:hAnsi="Calibri" w:cs="Calibri"/>
          <w:sz w:val="22"/>
          <w:szCs w:val="22"/>
          <w:lang w:eastAsia="en-US"/>
          <w14:ligatures w14:val="standardContextual"/>
        </w:rPr>
      </w:pPr>
    </w:p>
    <w:p w14:paraId="3BD5A4CD" w14:textId="21F314ED" w:rsidR="007845DB" w:rsidRPr="00FA0C6B" w:rsidRDefault="007845DB" w:rsidP="00FA0C6B">
      <w:pPr>
        <w:jc w:val="both"/>
        <w:rPr>
          <w:rFonts w:ascii="Calibri" w:eastAsiaTheme="minorHAnsi" w:hAnsi="Calibri" w:cs="Calibri"/>
          <w:sz w:val="22"/>
          <w:szCs w:val="22"/>
          <w:lang w:eastAsia="en-US"/>
          <w14:ligatures w14:val="standardContextual"/>
        </w:rPr>
      </w:pPr>
      <w:r w:rsidRPr="00FA0C6B">
        <w:rPr>
          <w:rFonts w:ascii="Calibri" w:eastAsiaTheme="minorHAnsi" w:hAnsi="Calibri" w:cs="Calibri"/>
          <w:sz w:val="22"/>
          <w:szCs w:val="22"/>
          <w:lang w:eastAsia="en-US"/>
          <w14:ligatures w14:val="standardContextual"/>
        </w:rPr>
        <w:t xml:space="preserve">The Welsh Government’s vision of reaching one million Welsh speakers by 2050 is an important milestone in the development of the future of Welsh heritage.  In their ‘Cymraeg 2050: A million Welsh speakers’ strategy, the Welsh Government </w:t>
      </w:r>
      <w:r w:rsidR="00026ABD" w:rsidRPr="00FA0C6B">
        <w:rPr>
          <w:rFonts w:ascii="Calibri" w:eastAsiaTheme="minorHAnsi" w:hAnsi="Calibri" w:cs="Calibri"/>
          <w:sz w:val="22"/>
          <w:szCs w:val="22"/>
          <w:lang w:eastAsia="en-US"/>
          <w14:ligatures w14:val="standardContextual"/>
        </w:rPr>
        <w:t xml:space="preserve">(2017) </w:t>
      </w:r>
      <w:r w:rsidRPr="00FA0C6B">
        <w:rPr>
          <w:rFonts w:ascii="Calibri" w:eastAsiaTheme="minorHAnsi" w:hAnsi="Calibri" w:cs="Calibri"/>
          <w:sz w:val="22"/>
          <w:szCs w:val="22"/>
          <w:lang w:eastAsia="en-US"/>
          <w14:ligatures w14:val="standardContextual"/>
        </w:rPr>
        <w:t xml:space="preserve">recognises that communities in Wales are unique but share some common characteristics. One of these is the high population mobility with young Welsh speakers leaving to find jobs outside of Wales, which could have implications for the achievement of targets for increasing Welsh speakers in Wales in the future.  It has been identified by policy informers that the communities which mostly encounter this challenge are those which are rural. </w:t>
      </w:r>
    </w:p>
    <w:p w14:paraId="6CC048BE" w14:textId="0E2018E7" w:rsidR="007845DB" w:rsidRPr="00FA0C6B" w:rsidRDefault="007845DB" w:rsidP="00FA0C6B">
      <w:pPr>
        <w:jc w:val="both"/>
        <w:rPr>
          <w:rFonts w:ascii="Calibri" w:eastAsiaTheme="minorHAnsi" w:hAnsi="Calibri" w:cs="Calibri"/>
          <w:sz w:val="22"/>
          <w:szCs w:val="22"/>
          <w:lang w:eastAsia="en-US"/>
          <w14:ligatures w14:val="standardContextual"/>
        </w:rPr>
      </w:pPr>
      <w:r w:rsidRPr="00FA0C6B">
        <w:rPr>
          <w:rFonts w:ascii="Calibri" w:eastAsiaTheme="minorHAnsi" w:hAnsi="Calibri" w:cs="Calibri"/>
          <w:sz w:val="22"/>
          <w:szCs w:val="22"/>
          <w:lang w:eastAsia="en-US"/>
          <w14:ligatures w14:val="standardContextual"/>
        </w:rPr>
        <w:t xml:space="preserve"> </w:t>
      </w:r>
    </w:p>
    <w:p w14:paraId="4B300807" w14:textId="5415C51B" w:rsidR="00783379" w:rsidRPr="00FA0C6B" w:rsidRDefault="007845DB" w:rsidP="00FA0C6B">
      <w:pPr>
        <w:jc w:val="both"/>
        <w:rPr>
          <w:rFonts w:ascii="Calibri" w:eastAsiaTheme="minorHAnsi" w:hAnsi="Calibri" w:cs="Calibri"/>
          <w:sz w:val="22"/>
          <w:szCs w:val="22"/>
          <w:lang w:eastAsia="en-US"/>
          <w14:ligatures w14:val="standardContextual"/>
        </w:rPr>
      </w:pPr>
      <w:r w:rsidRPr="00FA0C6B">
        <w:rPr>
          <w:rFonts w:ascii="Calibri" w:eastAsiaTheme="minorHAnsi" w:hAnsi="Calibri" w:cs="Calibri"/>
          <w:sz w:val="22"/>
          <w:szCs w:val="22"/>
          <w:lang w:eastAsia="en-US"/>
          <w14:ligatures w14:val="standardContextual"/>
        </w:rPr>
        <w:t>The overall percentage of people aged three or over able to speak Welsh is the lowest ever recorded in the Census</w:t>
      </w:r>
      <w:r w:rsidR="001D7629" w:rsidRPr="00FA0C6B">
        <w:rPr>
          <w:rFonts w:ascii="Calibri" w:eastAsiaTheme="minorHAnsi" w:hAnsi="Calibri" w:cs="Calibri"/>
          <w:sz w:val="22"/>
          <w:szCs w:val="22"/>
          <w:lang w:eastAsia="en-US"/>
          <w14:ligatures w14:val="standardContextual"/>
        </w:rPr>
        <w:t xml:space="preserve"> (2021)</w:t>
      </w:r>
      <w:r w:rsidRPr="00FA0C6B">
        <w:rPr>
          <w:rFonts w:ascii="Calibri" w:eastAsiaTheme="minorHAnsi" w:hAnsi="Calibri" w:cs="Calibri"/>
          <w:sz w:val="22"/>
          <w:szCs w:val="22"/>
          <w:lang w:eastAsia="en-US"/>
          <w14:ligatures w14:val="standardContextual"/>
        </w:rPr>
        <w:t>, however the 2021 Census recorded a change in the age profiles of adults able to speak Welsh. Adults aged between 20–44-years-old are the age group most likely to speak Welsh (16.5%) in 2021</w:t>
      </w:r>
      <w:r w:rsidR="00C4690C" w:rsidRPr="00FA0C6B">
        <w:rPr>
          <w:rFonts w:ascii="Calibri" w:eastAsiaTheme="minorHAnsi" w:hAnsi="Calibri" w:cs="Calibri"/>
          <w:sz w:val="22"/>
          <w:szCs w:val="22"/>
          <w:lang w:eastAsia="en-US"/>
          <w14:ligatures w14:val="standardContextual"/>
        </w:rPr>
        <w:t xml:space="preserve">. </w:t>
      </w:r>
      <w:r w:rsidRPr="00FA0C6B">
        <w:rPr>
          <w:rFonts w:ascii="Calibri" w:eastAsiaTheme="minorHAnsi" w:hAnsi="Calibri" w:cs="Calibri"/>
          <w:sz w:val="22"/>
          <w:szCs w:val="22"/>
          <w:lang w:eastAsia="en-US"/>
          <w14:ligatures w14:val="standardContextual"/>
        </w:rPr>
        <w:t xml:space="preserve">The Europe Assistance Ipsos Survey </w:t>
      </w:r>
      <w:r w:rsidR="00F6712C" w:rsidRPr="00FA0C6B">
        <w:rPr>
          <w:rFonts w:ascii="Calibri" w:eastAsiaTheme="minorHAnsi" w:hAnsi="Calibri" w:cs="Calibri"/>
          <w:sz w:val="22"/>
          <w:szCs w:val="22"/>
          <w:lang w:eastAsia="en-US"/>
          <w14:ligatures w14:val="standardContextual"/>
        </w:rPr>
        <w:t xml:space="preserve">(2019) </w:t>
      </w:r>
      <w:r w:rsidRPr="00FA0C6B">
        <w:rPr>
          <w:rFonts w:ascii="Calibri" w:eastAsiaTheme="minorHAnsi" w:hAnsi="Calibri" w:cs="Calibri"/>
          <w:sz w:val="22"/>
          <w:szCs w:val="22"/>
          <w:lang w:eastAsia="en-US"/>
          <w14:ligatures w14:val="standardContextual"/>
        </w:rPr>
        <w:t xml:space="preserve">found that younger age adventure tourism enthusiasts (18–44-year-old) are more likely to enjoy specialised tourism activities. These figures suggest that the age group most likely to speak Welsh is also the age group most likely to participate, or be employed in the AST environment (Dennison, 2018). </w:t>
      </w:r>
      <w:r w:rsidR="00EB1843" w:rsidRPr="00FA0C6B">
        <w:rPr>
          <w:rFonts w:ascii="Calibri" w:eastAsiaTheme="minorHAnsi" w:hAnsi="Calibri" w:cs="Calibri"/>
          <w:sz w:val="22"/>
          <w:szCs w:val="22"/>
          <w:lang w:eastAsia="en-US"/>
          <w14:ligatures w14:val="standardContextual"/>
        </w:rPr>
        <w:t xml:space="preserve">Despite this, </w:t>
      </w:r>
      <w:r w:rsidRPr="00FA0C6B">
        <w:rPr>
          <w:rFonts w:ascii="Calibri" w:eastAsiaTheme="minorHAnsi" w:hAnsi="Calibri" w:cs="Calibri"/>
          <w:sz w:val="22"/>
          <w:szCs w:val="22"/>
          <w:lang w:eastAsia="en-US"/>
          <w14:ligatures w14:val="standardContextual"/>
        </w:rPr>
        <w:t>recent research conducted by Muskett (2019) suggests that the proportion of native Welsh speaking staff employed by AST organisations across Wales was low</w:t>
      </w:r>
      <w:r w:rsidR="00EB1843" w:rsidRPr="00FA0C6B">
        <w:rPr>
          <w:rFonts w:ascii="Calibri" w:eastAsiaTheme="minorHAnsi" w:hAnsi="Calibri" w:cs="Calibri"/>
          <w:sz w:val="22"/>
          <w:szCs w:val="22"/>
          <w:lang w:eastAsia="en-US"/>
          <w14:ligatures w14:val="standardContextual"/>
        </w:rPr>
        <w:t>.</w:t>
      </w:r>
      <w:r w:rsidRPr="00FA0C6B">
        <w:rPr>
          <w:rFonts w:ascii="Calibri" w:eastAsiaTheme="minorHAnsi" w:hAnsi="Calibri" w:cs="Calibri"/>
          <w:sz w:val="22"/>
          <w:szCs w:val="22"/>
          <w:lang w:eastAsia="en-US"/>
          <w14:ligatures w14:val="standardContextual"/>
        </w:rPr>
        <w:t xml:space="preserve"> </w:t>
      </w:r>
      <w:r w:rsidR="00EB1843" w:rsidRPr="00FA0C6B">
        <w:rPr>
          <w:rFonts w:ascii="Calibri" w:eastAsiaTheme="minorHAnsi" w:hAnsi="Calibri" w:cs="Calibri"/>
          <w:sz w:val="22"/>
          <w:szCs w:val="22"/>
          <w:lang w:eastAsia="en-US"/>
          <w14:ligatures w14:val="standardContextual"/>
        </w:rPr>
        <w:t>It was reported that particularly</w:t>
      </w:r>
      <w:r w:rsidRPr="00FA0C6B">
        <w:rPr>
          <w:rFonts w:ascii="Calibri" w:eastAsiaTheme="minorHAnsi" w:hAnsi="Calibri" w:cs="Calibri"/>
          <w:sz w:val="22"/>
          <w:szCs w:val="22"/>
          <w:lang w:eastAsia="en-US"/>
          <w14:ligatures w14:val="standardContextual"/>
        </w:rPr>
        <w:t xml:space="preserve"> small numbers</w:t>
      </w:r>
      <w:r w:rsidR="00EB1843" w:rsidRPr="00FA0C6B">
        <w:rPr>
          <w:rFonts w:ascii="Calibri" w:eastAsiaTheme="minorHAnsi" w:hAnsi="Calibri" w:cs="Calibri"/>
          <w:sz w:val="22"/>
          <w:szCs w:val="22"/>
          <w:lang w:eastAsia="en-US"/>
          <w14:ligatures w14:val="standardContextual"/>
        </w:rPr>
        <w:t xml:space="preserve"> of Welsh speakers exist</w:t>
      </w:r>
      <w:r w:rsidRPr="00FA0C6B">
        <w:rPr>
          <w:rFonts w:ascii="Calibri" w:eastAsiaTheme="minorHAnsi" w:hAnsi="Calibri" w:cs="Calibri"/>
          <w:sz w:val="22"/>
          <w:szCs w:val="22"/>
          <w:lang w:eastAsia="en-US"/>
          <w14:ligatures w14:val="standardContextual"/>
        </w:rPr>
        <w:t xml:space="preserve"> in instructional roles</w:t>
      </w:r>
      <w:r w:rsidR="00EB1843" w:rsidRPr="00FA0C6B">
        <w:rPr>
          <w:rFonts w:ascii="Calibri" w:eastAsiaTheme="minorHAnsi" w:hAnsi="Calibri" w:cs="Calibri"/>
          <w:sz w:val="22"/>
          <w:szCs w:val="22"/>
          <w:lang w:eastAsia="en-US"/>
          <w14:ligatures w14:val="standardContextual"/>
        </w:rPr>
        <w:t>, therefore v</w:t>
      </w:r>
      <w:r w:rsidRPr="00FA0C6B">
        <w:rPr>
          <w:rFonts w:ascii="Calibri" w:eastAsiaTheme="minorHAnsi" w:hAnsi="Calibri" w:cs="Calibri"/>
          <w:sz w:val="22"/>
          <w:szCs w:val="22"/>
          <w:lang w:eastAsia="en-US"/>
          <w14:ligatures w14:val="standardContextual"/>
        </w:rPr>
        <w:t xml:space="preserve">ery few providers of outdoor activities </w:t>
      </w:r>
      <w:r w:rsidR="00847222" w:rsidRPr="00FA0C6B">
        <w:rPr>
          <w:rFonts w:ascii="Calibri" w:eastAsiaTheme="minorHAnsi" w:hAnsi="Calibri" w:cs="Calibri"/>
          <w:sz w:val="22"/>
          <w:szCs w:val="22"/>
          <w:lang w:eastAsia="en-US"/>
          <w14:ligatures w14:val="standardContextual"/>
        </w:rPr>
        <w:t>offer</w:t>
      </w:r>
      <w:r w:rsidRPr="00FA0C6B">
        <w:rPr>
          <w:rFonts w:ascii="Calibri" w:eastAsiaTheme="minorHAnsi" w:hAnsi="Calibri" w:cs="Calibri"/>
          <w:sz w:val="22"/>
          <w:szCs w:val="22"/>
          <w:lang w:eastAsia="en-US"/>
          <w14:ligatures w14:val="standardContextual"/>
        </w:rPr>
        <w:t xml:space="preserve"> sessions through the medium of Welsh.</w:t>
      </w:r>
    </w:p>
    <w:p w14:paraId="3D36466E" w14:textId="77777777" w:rsidR="00E810E4" w:rsidRPr="00FA0C6B" w:rsidRDefault="00E810E4" w:rsidP="00FA0C6B">
      <w:pPr>
        <w:jc w:val="both"/>
        <w:rPr>
          <w:rFonts w:ascii="Calibri" w:eastAsiaTheme="minorHAnsi" w:hAnsi="Calibri" w:cs="Calibri"/>
          <w:sz w:val="22"/>
          <w:szCs w:val="22"/>
          <w:lang w:eastAsia="en-US"/>
          <w14:ligatures w14:val="standardContextual"/>
        </w:rPr>
      </w:pPr>
    </w:p>
    <w:p w14:paraId="4346F8C4" w14:textId="77777777" w:rsidR="00A513B8" w:rsidRPr="00FA0C6B" w:rsidRDefault="00533070" w:rsidP="00FA0C6B">
      <w:pPr>
        <w:jc w:val="both"/>
        <w:rPr>
          <w:rFonts w:ascii="Calibri" w:eastAsiaTheme="minorHAnsi" w:hAnsi="Calibri" w:cs="Calibri"/>
          <w:sz w:val="22"/>
          <w:szCs w:val="22"/>
          <w:lang w:eastAsia="en-US"/>
          <w14:ligatures w14:val="standardContextual"/>
        </w:rPr>
      </w:pPr>
      <w:r w:rsidRPr="00FA0C6B">
        <w:rPr>
          <w:rFonts w:ascii="Calibri" w:eastAsiaTheme="minorHAnsi" w:hAnsi="Calibri" w:cs="Calibri"/>
          <w:sz w:val="22"/>
          <w:szCs w:val="22"/>
          <w:lang w:eastAsia="en-US"/>
          <w14:ligatures w14:val="standardContextual"/>
        </w:rPr>
        <w:t xml:space="preserve">This research corresponds with the goals of  the Well-being of Future Generations (Wales) Act 2015 about improving economic, environmental, cultural and well-being of Wales through public bodies. </w:t>
      </w:r>
    </w:p>
    <w:p w14:paraId="29D1C99B" w14:textId="65B09B69" w:rsidR="00533070" w:rsidRPr="00FA0C6B" w:rsidRDefault="00533070" w:rsidP="00FA0C6B">
      <w:pPr>
        <w:jc w:val="both"/>
        <w:rPr>
          <w:rFonts w:ascii="Calibri" w:eastAsiaTheme="minorHAnsi" w:hAnsi="Calibri" w:cs="Calibri"/>
          <w:sz w:val="22"/>
          <w:szCs w:val="22"/>
          <w:lang w:eastAsia="en-US"/>
          <w14:ligatures w14:val="standardContextual"/>
        </w:rPr>
      </w:pPr>
      <w:r w:rsidRPr="00FA0C6B">
        <w:rPr>
          <w:rFonts w:ascii="Calibri" w:eastAsiaTheme="minorHAnsi" w:hAnsi="Calibri" w:cs="Calibri"/>
          <w:sz w:val="22"/>
          <w:szCs w:val="22"/>
          <w:lang w:eastAsia="en-US"/>
          <w14:ligatures w14:val="standardContextual"/>
        </w:rPr>
        <w:t xml:space="preserve">Of their seven goals, this research sits within each one, but more specifically </w:t>
      </w:r>
      <w:r w:rsidRPr="00FA0C6B">
        <w:rPr>
          <w:rFonts w:ascii="Calibri" w:eastAsiaTheme="minorHAnsi" w:hAnsi="Calibri" w:cs="Calibri"/>
          <w:i/>
          <w:iCs/>
          <w:sz w:val="22"/>
          <w:szCs w:val="22"/>
          <w:lang w:eastAsia="en-US"/>
          <w14:ligatures w14:val="standardContextual"/>
        </w:rPr>
        <w:t xml:space="preserve">A Wales of vibrant culture and thriving Welsh language </w:t>
      </w:r>
      <w:r w:rsidRPr="00FA0C6B">
        <w:rPr>
          <w:rFonts w:ascii="Calibri" w:eastAsiaTheme="minorHAnsi" w:hAnsi="Calibri" w:cs="Calibri"/>
          <w:sz w:val="22"/>
          <w:szCs w:val="22"/>
          <w:lang w:eastAsia="en-US"/>
          <w14:ligatures w14:val="standardContextual"/>
        </w:rPr>
        <w:t>goal. This creates a society that promotes and protects culture, heritage and the Welsh language, and which encourages people to participate in the arts, and sports and recreation (Future Generations Wales, 2015). In 2023 72% of adults attended or took part in arts, culture or heritage activities at least three times a year (Llywodraeth Cymru, 2023). Additionally, the participation of children in sports outside of the curriculum three or more times a week was higher amongst Welsh speakers at 46% in comparison to 35% with non Welsh speakers (Sport Wales, 2023). This points in the direction that the Well-being of Future Generations (Wales) Act 2015 can be attained.</w:t>
      </w:r>
      <w:r w:rsidR="0080563A" w:rsidRPr="00FA0C6B">
        <w:rPr>
          <w:rFonts w:ascii="Calibri" w:eastAsiaTheme="minorHAnsi" w:hAnsi="Calibri" w:cs="Calibri"/>
          <w:sz w:val="22"/>
          <w:szCs w:val="22"/>
          <w:lang w:eastAsia="en-US"/>
          <w14:ligatures w14:val="standardContextual"/>
        </w:rPr>
        <w:t xml:space="preserve"> </w:t>
      </w:r>
      <w:r w:rsidR="00CF6AE3" w:rsidRPr="00FA0C6B">
        <w:rPr>
          <w:rFonts w:ascii="Calibri" w:eastAsiaTheme="minorHAnsi" w:hAnsi="Calibri" w:cs="Calibri"/>
          <w:sz w:val="22"/>
          <w:szCs w:val="22"/>
          <w:lang w:eastAsia="en-US"/>
          <w14:ligatures w14:val="standardContextual"/>
        </w:rPr>
        <w:t xml:space="preserve">Although, as this is directly </w:t>
      </w:r>
      <w:r w:rsidR="003A69B1" w:rsidRPr="00FA0C6B">
        <w:rPr>
          <w:rFonts w:ascii="Calibri" w:eastAsiaTheme="minorHAnsi" w:hAnsi="Calibri" w:cs="Calibri"/>
          <w:sz w:val="22"/>
          <w:szCs w:val="22"/>
          <w:lang w:eastAsia="en-US"/>
          <w14:ligatures w14:val="standardContextual"/>
        </w:rPr>
        <w:t>concerned</w:t>
      </w:r>
      <w:r w:rsidR="00CF6AE3" w:rsidRPr="00FA0C6B">
        <w:rPr>
          <w:rFonts w:ascii="Calibri" w:eastAsiaTheme="minorHAnsi" w:hAnsi="Calibri" w:cs="Calibri"/>
          <w:sz w:val="22"/>
          <w:szCs w:val="22"/>
          <w:lang w:eastAsia="en-US"/>
          <w14:ligatures w14:val="standardContextual"/>
        </w:rPr>
        <w:t xml:space="preserve"> with public bodies, it bears the question will</w:t>
      </w:r>
      <w:r w:rsidR="00EC4383" w:rsidRPr="00FA0C6B">
        <w:rPr>
          <w:rFonts w:ascii="Calibri" w:eastAsiaTheme="minorHAnsi" w:hAnsi="Calibri" w:cs="Calibri"/>
          <w:sz w:val="22"/>
          <w:szCs w:val="22"/>
          <w:lang w:eastAsia="en-US"/>
          <w14:ligatures w14:val="standardContextual"/>
        </w:rPr>
        <w:t xml:space="preserve"> these goals be worked towards by</w:t>
      </w:r>
      <w:r w:rsidR="00F678B7" w:rsidRPr="00FA0C6B">
        <w:rPr>
          <w:rFonts w:ascii="Calibri" w:eastAsiaTheme="minorHAnsi" w:hAnsi="Calibri" w:cs="Calibri"/>
          <w:sz w:val="22"/>
          <w:szCs w:val="22"/>
          <w:lang w:eastAsia="en-US"/>
          <w14:ligatures w14:val="standardContextual"/>
        </w:rPr>
        <w:t xml:space="preserve"> </w:t>
      </w:r>
      <w:r w:rsidR="008F27F4" w:rsidRPr="00FA0C6B">
        <w:rPr>
          <w:rFonts w:ascii="Calibri" w:eastAsiaTheme="minorHAnsi" w:hAnsi="Calibri" w:cs="Calibri"/>
          <w:sz w:val="22"/>
          <w:szCs w:val="22"/>
          <w:lang w:eastAsia="en-US"/>
          <w14:ligatures w14:val="standardContextual"/>
        </w:rPr>
        <w:t>private, third sector and clubs</w:t>
      </w:r>
      <w:r w:rsidR="001C5315" w:rsidRPr="00FA0C6B">
        <w:rPr>
          <w:rFonts w:ascii="Calibri" w:eastAsiaTheme="minorHAnsi" w:hAnsi="Calibri" w:cs="Calibri"/>
          <w:sz w:val="22"/>
          <w:szCs w:val="22"/>
          <w:lang w:eastAsia="en-US"/>
          <w14:ligatures w14:val="standardContextual"/>
        </w:rPr>
        <w:t xml:space="preserve"> of the AST industry</w:t>
      </w:r>
      <w:r w:rsidR="00623B93" w:rsidRPr="00FA0C6B">
        <w:rPr>
          <w:rFonts w:ascii="Calibri" w:eastAsiaTheme="minorHAnsi" w:hAnsi="Calibri" w:cs="Calibri"/>
          <w:sz w:val="22"/>
          <w:szCs w:val="22"/>
          <w:lang w:eastAsia="en-US"/>
          <w14:ligatures w14:val="standardContextual"/>
        </w:rPr>
        <w:t>?</w:t>
      </w:r>
    </w:p>
    <w:p w14:paraId="1B656C06" w14:textId="77777777" w:rsidR="00C90806" w:rsidRPr="00FA0C6B" w:rsidRDefault="00C90806" w:rsidP="00FA0C6B">
      <w:pPr>
        <w:jc w:val="both"/>
        <w:rPr>
          <w:rFonts w:ascii="Calibri" w:eastAsiaTheme="minorHAnsi" w:hAnsi="Calibri" w:cs="Calibri"/>
          <w:sz w:val="22"/>
          <w:szCs w:val="22"/>
          <w:lang w:eastAsia="en-US"/>
          <w14:ligatures w14:val="standardContextual"/>
        </w:rPr>
      </w:pPr>
    </w:p>
    <w:p w14:paraId="2F984800" w14:textId="62678D23" w:rsidR="009F2D73" w:rsidRPr="00FA0C6B" w:rsidRDefault="00C90806" w:rsidP="00FA0C6B">
      <w:pPr>
        <w:autoSpaceDE w:val="0"/>
        <w:autoSpaceDN w:val="0"/>
        <w:adjustRightInd w:val="0"/>
        <w:jc w:val="both"/>
        <w:rPr>
          <w:rFonts w:ascii="Calibri" w:eastAsiaTheme="minorHAnsi" w:hAnsi="Calibri" w:cs="Calibri"/>
          <w:sz w:val="22"/>
          <w:szCs w:val="22"/>
          <w:lang w:eastAsia="en-US"/>
          <w14:ligatures w14:val="standardContextual"/>
        </w:rPr>
      </w:pPr>
      <w:r w:rsidRPr="00FA0C6B">
        <w:rPr>
          <w:rFonts w:ascii="Calibri" w:eastAsiaTheme="minorHAnsi" w:hAnsi="Calibri" w:cs="Calibri"/>
          <w:sz w:val="22"/>
          <w:szCs w:val="22"/>
          <w:lang w:eastAsia="en-US"/>
          <w14:ligatures w14:val="standardContextual"/>
        </w:rPr>
        <w:t>The use and value of adventure sport tourism for revitalisation of rural economies has been widely debated (Costa</w:t>
      </w:r>
      <w:r w:rsidR="005516C7" w:rsidRPr="00FA0C6B">
        <w:rPr>
          <w:rFonts w:ascii="Calibri" w:eastAsiaTheme="minorHAnsi" w:hAnsi="Calibri" w:cs="Calibri"/>
          <w:sz w:val="22"/>
          <w:szCs w:val="22"/>
          <w:lang w:eastAsia="en-US"/>
          <w14:ligatures w14:val="standardContextual"/>
        </w:rPr>
        <w:t xml:space="preserve"> </w:t>
      </w:r>
      <w:r w:rsidR="005516C7" w:rsidRPr="00FA0C6B">
        <w:rPr>
          <w:rFonts w:ascii="Calibri" w:eastAsiaTheme="minorHAnsi" w:hAnsi="Calibri" w:cs="Calibri"/>
          <w:i/>
          <w:iCs/>
          <w:sz w:val="22"/>
          <w:szCs w:val="22"/>
          <w:lang w:eastAsia="en-US"/>
          <w14:ligatures w14:val="standardContextual"/>
        </w:rPr>
        <w:t>et al.,</w:t>
      </w:r>
      <w:r w:rsidRPr="00FA0C6B">
        <w:rPr>
          <w:rFonts w:ascii="Calibri" w:eastAsiaTheme="minorHAnsi" w:hAnsi="Calibri" w:cs="Calibri"/>
          <w:sz w:val="22"/>
          <w:szCs w:val="22"/>
          <w:lang w:eastAsia="en-US"/>
          <w14:ligatures w14:val="standardContextual"/>
        </w:rPr>
        <w:t xml:space="preserve"> 2006).</w:t>
      </w:r>
      <w:r w:rsidR="00FC4AD9" w:rsidRPr="00FA0C6B">
        <w:rPr>
          <w:rFonts w:ascii="Calibri" w:eastAsiaTheme="minorHAnsi" w:hAnsi="Calibri" w:cs="Calibri"/>
          <w:sz w:val="22"/>
          <w:szCs w:val="22"/>
          <w:lang w:eastAsia="en-US"/>
          <w14:ligatures w14:val="standardContextual"/>
        </w:rPr>
        <w:t xml:space="preserve"> This is because </w:t>
      </w:r>
      <w:r w:rsidR="00A2533A" w:rsidRPr="00FA0C6B">
        <w:rPr>
          <w:rFonts w:ascii="Calibri" w:eastAsiaTheme="minorHAnsi" w:hAnsi="Calibri" w:cs="Calibri"/>
          <w:sz w:val="22"/>
          <w:szCs w:val="22"/>
          <w:lang w:eastAsia="en-US"/>
          <w14:ligatures w14:val="standardContextual"/>
        </w:rPr>
        <w:t>rural communities have natural local amenities</w:t>
      </w:r>
      <w:r w:rsidR="009843B9" w:rsidRPr="00FA0C6B">
        <w:rPr>
          <w:rFonts w:ascii="Calibri" w:eastAsiaTheme="minorHAnsi" w:hAnsi="Calibri" w:cs="Calibri"/>
          <w:sz w:val="22"/>
          <w:szCs w:val="22"/>
          <w:lang w:eastAsia="en-US"/>
          <w14:ligatures w14:val="standardContextual"/>
        </w:rPr>
        <w:t xml:space="preserve"> and conditions</w:t>
      </w:r>
      <w:r w:rsidR="00A2533A" w:rsidRPr="00FA0C6B">
        <w:rPr>
          <w:rFonts w:ascii="Calibri" w:eastAsiaTheme="minorHAnsi" w:hAnsi="Calibri" w:cs="Calibri"/>
          <w:sz w:val="22"/>
          <w:szCs w:val="22"/>
          <w:lang w:eastAsia="en-US"/>
          <w14:ligatures w14:val="standardContextual"/>
        </w:rPr>
        <w:t xml:space="preserve"> (mountains, open spaces, </w:t>
      </w:r>
      <w:r w:rsidR="009843B9" w:rsidRPr="00FA0C6B">
        <w:rPr>
          <w:rFonts w:ascii="Calibri" w:eastAsiaTheme="minorHAnsi" w:hAnsi="Calibri" w:cs="Calibri"/>
          <w:sz w:val="22"/>
          <w:szCs w:val="22"/>
          <w:lang w:eastAsia="en-US"/>
          <w14:ligatures w14:val="standardContextual"/>
        </w:rPr>
        <w:t xml:space="preserve">wind, </w:t>
      </w:r>
      <w:r w:rsidR="00A2533A" w:rsidRPr="00FA0C6B">
        <w:rPr>
          <w:rFonts w:ascii="Calibri" w:eastAsiaTheme="minorHAnsi" w:hAnsi="Calibri" w:cs="Calibri"/>
          <w:sz w:val="22"/>
          <w:szCs w:val="22"/>
          <w:lang w:eastAsia="en-US"/>
          <w14:ligatures w14:val="standardContextual"/>
        </w:rPr>
        <w:t xml:space="preserve">waterways) which serve as locations for recreational sports (Chambers, 1994; Roberts &amp; Hall, </w:t>
      </w:r>
      <w:r w:rsidR="004C6814" w:rsidRPr="00FA0C6B">
        <w:rPr>
          <w:rFonts w:ascii="Calibri" w:eastAsiaTheme="minorHAnsi" w:hAnsi="Calibri" w:cs="Calibri"/>
          <w:sz w:val="22"/>
          <w:szCs w:val="22"/>
          <w:lang w:eastAsia="en-US"/>
          <w14:ligatures w14:val="standardContextual"/>
        </w:rPr>
        <w:t>2001</w:t>
      </w:r>
      <w:r w:rsidR="00A2533A" w:rsidRPr="00FA0C6B">
        <w:rPr>
          <w:rFonts w:ascii="Calibri" w:eastAsiaTheme="minorHAnsi" w:hAnsi="Calibri" w:cs="Calibri"/>
          <w:sz w:val="22"/>
          <w:szCs w:val="22"/>
          <w:lang w:eastAsia="en-US"/>
          <w14:ligatures w14:val="standardContextual"/>
        </w:rPr>
        <w:t>).</w:t>
      </w:r>
      <w:r w:rsidR="00F72748" w:rsidRPr="00FA0C6B">
        <w:rPr>
          <w:rFonts w:ascii="Calibri" w:eastAsiaTheme="minorHAnsi" w:hAnsi="Calibri" w:cs="Calibri"/>
          <w:sz w:val="22"/>
          <w:szCs w:val="22"/>
          <w:lang w:eastAsia="en-US"/>
          <w14:ligatures w14:val="standardContextual"/>
        </w:rPr>
        <w:t xml:space="preserve"> </w:t>
      </w:r>
      <w:r w:rsidR="000E0A30" w:rsidRPr="00FA0C6B">
        <w:rPr>
          <w:rFonts w:ascii="Calibri" w:eastAsiaTheme="minorHAnsi" w:hAnsi="Calibri" w:cs="Calibri"/>
          <w:sz w:val="22"/>
          <w:szCs w:val="22"/>
          <w:lang w:eastAsia="en-US"/>
          <w14:ligatures w14:val="standardContextual"/>
        </w:rPr>
        <w:t xml:space="preserve">There are two types of participation in AST activities, sport-related tourism activities as part of the holiday experience, and extreme adventure sports which comprise a high degree of risk and adventure (Page </w:t>
      </w:r>
      <w:r w:rsidR="000E0A30" w:rsidRPr="00FA0C6B">
        <w:rPr>
          <w:rFonts w:ascii="Calibri" w:eastAsiaTheme="minorHAnsi" w:hAnsi="Calibri" w:cs="Calibri"/>
          <w:i/>
          <w:iCs/>
          <w:sz w:val="22"/>
          <w:szCs w:val="22"/>
          <w:lang w:eastAsia="en-US"/>
          <w14:ligatures w14:val="standardContextual"/>
        </w:rPr>
        <w:t>et al.,</w:t>
      </w:r>
      <w:r w:rsidR="000E0A30" w:rsidRPr="00FA0C6B">
        <w:rPr>
          <w:rFonts w:ascii="Calibri" w:eastAsiaTheme="minorHAnsi" w:hAnsi="Calibri" w:cs="Calibri"/>
          <w:sz w:val="22"/>
          <w:szCs w:val="22"/>
          <w:lang w:eastAsia="en-US"/>
          <w14:ligatures w14:val="standardContextual"/>
        </w:rPr>
        <w:t xml:space="preserve"> 2006).</w:t>
      </w:r>
      <w:r w:rsidR="008E0567" w:rsidRPr="00FA0C6B">
        <w:rPr>
          <w:rFonts w:ascii="Calibri" w:eastAsiaTheme="minorHAnsi" w:hAnsi="Calibri" w:cs="Calibri"/>
          <w:sz w:val="22"/>
          <w:szCs w:val="22"/>
          <w:lang w:eastAsia="en-US"/>
          <w14:ligatures w14:val="standardContextual"/>
        </w:rPr>
        <w:t xml:space="preserve">  This trend has accelerated over the past two decades, particularly in Europe, as policymakers have sought to capitalise on the worldwide growth of tourism to attract new spending to rural economies (Edwards &amp; Fernandes, 1999; Hall, 2004).</w:t>
      </w:r>
      <w:r w:rsidR="000E0A30" w:rsidRPr="00FA0C6B">
        <w:rPr>
          <w:rFonts w:ascii="Calibri" w:eastAsiaTheme="minorHAnsi" w:hAnsi="Calibri" w:cs="Calibri"/>
          <w:sz w:val="22"/>
          <w:szCs w:val="22"/>
          <w:lang w:eastAsia="en-US"/>
          <w14:ligatures w14:val="standardContextual"/>
        </w:rPr>
        <w:t xml:space="preserve"> </w:t>
      </w:r>
      <w:r w:rsidR="00F72748" w:rsidRPr="00FA0C6B">
        <w:rPr>
          <w:rFonts w:ascii="Calibri" w:eastAsiaTheme="minorHAnsi" w:hAnsi="Calibri" w:cs="Calibri"/>
          <w:sz w:val="22"/>
          <w:szCs w:val="22"/>
          <w:lang w:eastAsia="en-US"/>
          <w14:ligatures w14:val="standardContextual"/>
        </w:rPr>
        <w:t>Adventure Sport Tourism arguably fall</w:t>
      </w:r>
      <w:r w:rsidR="0098360B" w:rsidRPr="00FA0C6B">
        <w:rPr>
          <w:rFonts w:ascii="Calibri" w:eastAsiaTheme="minorHAnsi" w:hAnsi="Calibri" w:cs="Calibri"/>
          <w:sz w:val="22"/>
          <w:szCs w:val="22"/>
          <w:lang w:eastAsia="en-US"/>
          <w14:ligatures w14:val="standardContextual"/>
        </w:rPr>
        <w:t>s</w:t>
      </w:r>
      <w:r w:rsidR="00F72748" w:rsidRPr="00FA0C6B">
        <w:rPr>
          <w:rFonts w:ascii="Calibri" w:eastAsiaTheme="minorHAnsi" w:hAnsi="Calibri" w:cs="Calibri"/>
          <w:sz w:val="22"/>
          <w:szCs w:val="22"/>
          <w:lang w:eastAsia="en-US"/>
          <w14:ligatures w14:val="standardContextual"/>
        </w:rPr>
        <w:t xml:space="preserve"> into the wider definition of sport-related activities</w:t>
      </w:r>
      <w:r w:rsidR="00853B84" w:rsidRPr="00FA0C6B">
        <w:rPr>
          <w:rFonts w:ascii="Calibri" w:eastAsiaTheme="minorHAnsi" w:hAnsi="Calibri" w:cs="Calibri"/>
          <w:sz w:val="22"/>
          <w:szCs w:val="22"/>
          <w:lang w:eastAsia="en-US"/>
          <w14:ligatures w14:val="standardContextual"/>
        </w:rPr>
        <w:t xml:space="preserve"> which are </w:t>
      </w:r>
      <w:r w:rsidR="006D017B" w:rsidRPr="00FA0C6B">
        <w:rPr>
          <w:rFonts w:ascii="Calibri" w:eastAsiaTheme="minorHAnsi" w:hAnsi="Calibri" w:cs="Calibri"/>
          <w:sz w:val="22"/>
          <w:szCs w:val="22"/>
          <w:lang w:eastAsia="en-US"/>
          <w14:ligatures w14:val="standardContextual"/>
        </w:rPr>
        <w:t>popular among</w:t>
      </w:r>
      <w:r w:rsidR="0098360B" w:rsidRPr="00FA0C6B">
        <w:rPr>
          <w:rFonts w:ascii="Calibri" w:eastAsiaTheme="minorHAnsi" w:hAnsi="Calibri" w:cs="Calibri"/>
          <w:sz w:val="22"/>
          <w:szCs w:val="22"/>
          <w:lang w:eastAsia="en-US"/>
          <w14:ligatures w14:val="standardContextual"/>
        </w:rPr>
        <w:t xml:space="preserve"> holidaymakers</w:t>
      </w:r>
      <w:r w:rsidR="00F72748" w:rsidRPr="00FA0C6B">
        <w:rPr>
          <w:rFonts w:ascii="Calibri" w:eastAsiaTheme="minorHAnsi" w:hAnsi="Calibri" w:cs="Calibri"/>
          <w:sz w:val="22"/>
          <w:szCs w:val="22"/>
          <w:lang w:eastAsia="en-US"/>
          <w14:ligatures w14:val="standardContextual"/>
        </w:rPr>
        <w:t xml:space="preserve"> (Page </w:t>
      </w:r>
      <w:r w:rsidR="00F72748" w:rsidRPr="00FA0C6B">
        <w:rPr>
          <w:rFonts w:ascii="Calibri" w:eastAsiaTheme="minorHAnsi" w:hAnsi="Calibri" w:cs="Calibri"/>
          <w:i/>
          <w:iCs/>
          <w:sz w:val="22"/>
          <w:szCs w:val="22"/>
          <w:lang w:eastAsia="en-US"/>
          <w14:ligatures w14:val="standardContextual"/>
        </w:rPr>
        <w:t>et al.,</w:t>
      </w:r>
      <w:r w:rsidR="00F72748" w:rsidRPr="00FA0C6B">
        <w:rPr>
          <w:rFonts w:ascii="Calibri" w:eastAsiaTheme="minorHAnsi" w:hAnsi="Calibri" w:cs="Calibri"/>
          <w:sz w:val="22"/>
          <w:szCs w:val="22"/>
          <w:lang w:eastAsia="en-US"/>
          <w14:ligatures w14:val="standardContextual"/>
        </w:rPr>
        <w:t xml:space="preserve"> 2006), which could contribute to </w:t>
      </w:r>
      <w:r w:rsidR="001066D4" w:rsidRPr="00FA0C6B">
        <w:rPr>
          <w:rFonts w:ascii="Calibri" w:eastAsiaTheme="minorHAnsi" w:hAnsi="Calibri" w:cs="Calibri"/>
          <w:sz w:val="22"/>
          <w:szCs w:val="22"/>
          <w:lang w:eastAsia="en-US"/>
          <w14:ligatures w14:val="standardContextual"/>
        </w:rPr>
        <w:t xml:space="preserve">developing a more prosperous economy </w:t>
      </w:r>
      <w:r w:rsidR="005D55B4" w:rsidRPr="00FA0C6B">
        <w:rPr>
          <w:rFonts w:ascii="Calibri" w:eastAsiaTheme="minorHAnsi" w:hAnsi="Calibri" w:cs="Calibri"/>
          <w:sz w:val="22"/>
          <w:szCs w:val="22"/>
          <w:lang w:eastAsia="en-US"/>
          <w14:ligatures w14:val="standardContextual"/>
        </w:rPr>
        <w:t xml:space="preserve">through increasing job opportunities and drawing more </w:t>
      </w:r>
      <w:r w:rsidR="00A5607F" w:rsidRPr="00FA0C6B">
        <w:rPr>
          <w:rFonts w:ascii="Calibri" w:eastAsiaTheme="minorHAnsi" w:hAnsi="Calibri" w:cs="Calibri"/>
          <w:sz w:val="22"/>
          <w:szCs w:val="22"/>
          <w:lang w:eastAsia="en-US"/>
          <w14:ligatures w14:val="standardContextual"/>
        </w:rPr>
        <w:t>tourism to rural areas</w:t>
      </w:r>
      <w:r w:rsidR="005D55B4" w:rsidRPr="00FA0C6B">
        <w:rPr>
          <w:rFonts w:ascii="Calibri" w:eastAsiaTheme="minorHAnsi" w:hAnsi="Calibri" w:cs="Calibri"/>
          <w:sz w:val="22"/>
          <w:szCs w:val="22"/>
          <w:lang w:eastAsia="en-US"/>
          <w14:ligatures w14:val="standardContextual"/>
        </w:rPr>
        <w:t>.</w:t>
      </w:r>
      <w:r w:rsidR="006D017B" w:rsidRPr="00FA0C6B">
        <w:rPr>
          <w:rFonts w:ascii="Calibri" w:eastAsiaTheme="minorHAnsi" w:hAnsi="Calibri" w:cs="Calibri"/>
          <w:sz w:val="22"/>
          <w:szCs w:val="22"/>
          <w:lang w:eastAsia="en-US"/>
          <w14:ligatures w14:val="standardContextual"/>
        </w:rPr>
        <w:t xml:space="preserve">  </w:t>
      </w:r>
    </w:p>
    <w:p w14:paraId="3B6486CB" w14:textId="77777777" w:rsidR="00F15541" w:rsidRPr="00FA0C6B" w:rsidRDefault="00F15541" w:rsidP="00FA0C6B">
      <w:pPr>
        <w:autoSpaceDE w:val="0"/>
        <w:autoSpaceDN w:val="0"/>
        <w:adjustRightInd w:val="0"/>
        <w:jc w:val="both"/>
        <w:rPr>
          <w:rFonts w:ascii="Calibri" w:eastAsiaTheme="minorHAnsi" w:hAnsi="Calibri" w:cs="Calibri"/>
          <w:sz w:val="22"/>
          <w:szCs w:val="22"/>
          <w:lang w:eastAsia="en-US"/>
          <w14:ligatures w14:val="standardContextual"/>
        </w:rPr>
      </w:pPr>
    </w:p>
    <w:p w14:paraId="36596056" w14:textId="6D5D09AA" w:rsidR="006E3114" w:rsidRPr="00FA0C6B" w:rsidRDefault="00B96D0A" w:rsidP="00FA0C6B">
      <w:pPr>
        <w:autoSpaceDE w:val="0"/>
        <w:autoSpaceDN w:val="0"/>
        <w:adjustRightInd w:val="0"/>
        <w:jc w:val="both"/>
        <w:rPr>
          <w:rFonts w:ascii="Calibri" w:eastAsiaTheme="minorHAnsi" w:hAnsi="Calibri" w:cs="Calibri"/>
          <w:sz w:val="22"/>
          <w:szCs w:val="22"/>
          <w:lang w:eastAsia="en-US"/>
          <w14:ligatures w14:val="standardContextual"/>
        </w:rPr>
      </w:pPr>
      <w:r w:rsidRPr="00FA0C6B">
        <w:rPr>
          <w:rFonts w:ascii="Calibri" w:eastAsiaTheme="minorHAnsi" w:hAnsi="Calibri" w:cs="Calibri"/>
          <w:sz w:val="22"/>
          <w:szCs w:val="22"/>
          <w:lang w:eastAsia="en-US"/>
          <w14:ligatures w14:val="standardContextual"/>
        </w:rPr>
        <w:t>If participation and demand in rural sport tourism activities waxes and wanes with the seasons, so will employment and cash flow, causing considerable fiscal stress</w:t>
      </w:r>
      <w:r w:rsidR="006D055E" w:rsidRPr="00FA0C6B">
        <w:rPr>
          <w:rFonts w:ascii="Calibri" w:eastAsiaTheme="minorHAnsi" w:hAnsi="Calibri" w:cs="Calibri"/>
          <w:sz w:val="22"/>
          <w:szCs w:val="22"/>
          <w:lang w:eastAsia="en-US"/>
          <w14:ligatures w14:val="standardContextual"/>
        </w:rPr>
        <w:t xml:space="preserve"> in communities that rely on visitors who come to participate </w:t>
      </w:r>
      <w:r w:rsidR="00647998" w:rsidRPr="00FA0C6B">
        <w:rPr>
          <w:rFonts w:ascii="Calibri" w:eastAsiaTheme="minorHAnsi" w:hAnsi="Calibri" w:cs="Calibri"/>
          <w:sz w:val="22"/>
          <w:szCs w:val="22"/>
          <w:lang w:eastAsia="en-US"/>
          <w14:ligatures w14:val="standardContextual"/>
        </w:rPr>
        <w:t xml:space="preserve">in locally provided sport (Keith, Fawson &amp; Chang, 1996). As a results sport activities may be </w:t>
      </w:r>
      <w:r w:rsidR="005B0C31" w:rsidRPr="00FA0C6B">
        <w:rPr>
          <w:rFonts w:ascii="Calibri" w:eastAsiaTheme="minorHAnsi" w:hAnsi="Calibri" w:cs="Calibri"/>
          <w:sz w:val="22"/>
          <w:szCs w:val="22"/>
          <w:lang w:eastAsia="en-US"/>
          <w14:ligatures w14:val="standardContextual"/>
        </w:rPr>
        <w:t>insufficient</w:t>
      </w:r>
      <w:r w:rsidR="00647998" w:rsidRPr="00FA0C6B">
        <w:rPr>
          <w:rFonts w:ascii="Calibri" w:eastAsiaTheme="minorHAnsi" w:hAnsi="Calibri" w:cs="Calibri"/>
          <w:sz w:val="22"/>
          <w:szCs w:val="22"/>
          <w:lang w:eastAsia="en-US"/>
          <w14:ligatures w14:val="standardContextual"/>
        </w:rPr>
        <w:t xml:space="preserve"> to arrest rural out-migration or economic decline (Costa </w:t>
      </w:r>
      <w:r w:rsidR="00647998" w:rsidRPr="00FA0C6B">
        <w:rPr>
          <w:rFonts w:ascii="Calibri" w:eastAsiaTheme="minorHAnsi" w:hAnsi="Calibri" w:cs="Calibri"/>
          <w:i/>
          <w:iCs/>
          <w:sz w:val="22"/>
          <w:szCs w:val="22"/>
          <w:lang w:eastAsia="en-US"/>
          <w14:ligatures w14:val="standardContextual"/>
        </w:rPr>
        <w:t xml:space="preserve">et al., </w:t>
      </w:r>
      <w:r w:rsidR="00647998" w:rsidRPr="00FA0C6B">
        <w:rPr>
          <w:rFonts w:ascii="Calibri" w:eastAsiaTheme="minorHAnsi" w:hAnsi="Calibri" w:cs="Calibri"/>
          <w:sz w:val="22"/>
          <w:szCs w:val="22"/>
          <w:lang w:eastAsia="en-US"/>
          <w14:ligatures w14:val="standardContextual"/>
        </w:rPr>
        <w:t>20</w:t>
      </w:r>
      <w:r w:rsidR="00F71D1E" w:rsidRPr="00FA0C6B">
        <w:rPr>
          <w:rFonts w:ascii="Calibri" w:eastAsiaTheme="minorHAnsi" w:hAnsi="Calibri" w:cs="Calibri"/>
          <w:sz w:val="22"/>
          <w:szCs w:val="22"/>
          <w:lang w:eastAsia="en-US"/>
          <w14:ligatures w14:val="standardContextual"/>
        </w:rPr>
        <w:t xml:space="preserve">06). The net loss of skilled people to out-migration; particularly the under 40’s is commonly referred to as the ‘brain drain’. A recent report conducted by the Welsh Governance Centre (2023) concluded that the growth of middle-to-higher earning roles in Wales has </w:t>
      </w:r>
      <w:r w:rsidR="00B140AC" w:rsidRPr="00FA0C6B">
        <w:rPr>
          <w:rFonts w:ascii="Calibri" w:eastAsiaTheme="minorHAnsi" w:hAnsi="Calibri" w:cs="Calibri"/>
          <w:sz w:val="22"/>
          <w:szCs w:val="22"/>
          <w:lang w:eastAsia="en-US"/>
          <w14:ligatures w14:val="standardContextual"/>
        </w:rPr>
        <w:t>remained</w:t>
      </w:r>
      <w:r w:rsidR="00F71D1E" w:rsidRPr="00FA0C6B">
        <w:rPr>
          <w:rFonts w:ascii="Calibri" w:eastAsiaTheme="minorHAnsi" w:hAnsi="Calibri" w:cs="Calibri"/>
          <w:sz w:val="22"/>
          <w:szCs w:val="22"/>
          <w:lang w:eastAsia="en-US"/>
          <w14:ligatures w14:val="standardContextual"/>
        </w:rPr>
        <w:t xml:space="preserve"> stagnant since 2000-01. </w:t>
      </w:r>
      <w:r w:rsidR="00B140AC" w:rsidRPr="00FA0C6B">
        <w:rPr>
          <w:rFonts w:ascii="Calibri" w:eastAsiaTheme="minorHAnsi" w:hAnsi="Calibri" w:cs="Calibri"/>
          <w:sz w:val="22"/>
          <w:szCs w:val="22"/>
          <w:lang w:eastAsia="en-US"/>
          <w14:ligatures w14:val="standardContextual"/>
        </w:rPr>
        <w:t>Interestingly</w:t>
      </w:r>
      <w:r w:rsidR="00F71D1E" w:rsidRPr="00FA0C6B">
        <w:rPr>
          <w:rFonts w:ascii="Calibri" w:eastAsiaTheme="minorHAnsi" w:hAnsi="Calibri" w:cs="Calibri"/>
          <w:sz w:val="22"/>
          <w:szCs w:val="22"/>
          <w:lang w:eastAsia="en-US"/>
          <w14:ligatures w14:val="standardContextual"/>
        </w:rPr>
        <w:t xml:space="preserve">, the roles with the highest median pay are those associated with </w:t>
      </w:r>
      <w:r w:rsidR="00A95427" w:rsidRPr="00FA0C6B">
        <w:rPr>
          <w:rFonts w:ascii="Calibri" w:eastAsiaTheme="minorHAnsi" w:hAnsi="Calibri" w:cs="Calibri"/>
          <w:sz w:val="22"/>
          <w:szCs w:val="22"/>
          <w:lang w:eastAsia="en-US"/>
          <w14:ligatures w14:val="standardContextual"/>
        </w:rPr>
        <w:t>natural</w:t>
      </w:r>
      <w:r w:rsidR="00F71D1E" w:rsidRPr="00FA0C6B">
        <w:rPr>
          <w:rFonts w:ascii="Calibri" w:eastAsiaTheme="minorHAnsi" w:hAnsi="Calibri" w:cs="Calibri"/>
          <w:sz w:val="22"/>
          <w:szCs w:val="22"/>
          <w:lang w:eastAsia="en-US"/>
          <w14:ligatures w14:val="standardContextual"/>
        </w:rPr>
        <w:t xml:space="preserve"> resources and ut</w:t>
      </w:r>
      <w:r w:rsidR="00CC4331" w:rsidRPr="00FA0C6B">
        <w:rPr>
          <w:rFonts w:ascii="Calibri" w:eastAsiaTheme="minorHAnsi" w:hAnsi="Calibri" w:cs="Calibri"/>
          <w:sz w:val="22"/>
          <w:szCs w:val="22"/>
          <w:lang w:eastAsia="en-US"/>
          <w14:ligatures w14:val="standardContextual"/>
        </w:rPr>
        <w:t>ilities.</w:t>
      </w:r>
    </w:p>
    <w:p w14:paraId="78E73325" w14:textId="77777777" w:rsidR="009923B5" w:rsidRPr="00FA0C6B" w:rsidRDefault="009923B5" w:rsidP="00FA0C6B">
      <w:pPr>
        <w:autoSpaceDE w:val="0"/>
        <w:autoSpaceDN w:val="0"/>
        <w:adjustRightInd w:val="0"/>
        <w:jc w:val="both"/>
        <w:rPr>
          <w:rFonts w:ascii="Calibri" w:eastAsiaTheme="minorHAnsi" w:hAnsi="Calibri" w:cs="Calibri"/>
          <w:sz w:val="22"/>
          <w:szCs w:val="22"/>
          <w:lang w:eastAsia="en-US"/>
          <w14:ligatures w14:val="standardContextual"/>
        </w:rPr>
      </w:pPr>
    </w:p>
    <w:p w14:paraId="596263ED" w14:textId="12153BD3" w:rsidR="00B115D8" w:rsidRPr="00FA0C6B" w:rsidRDefault="006F419C" w:rsidP="00FA0C6B">
      <w:pPr>
        <w:autoSpaceDE w:val="0"/>
        <w:autoSpaceDN w:val="0"/>
        <w:adjustRightInd w:val="0"/>
        <w:jc w:val="both"/>
        <w:rPr>
          <w:rFonts w:ascii="Calibri" w:eastAsiaTheme="minorHAnsi" w:hAnsi="Calibri" w:cs="Calibri"/>
          <w:sz w:val="22"/>
          <w:szCs w:val="22"/>
          <w:lang w:eastAsia="en-US"/>
          <w14:ligatures w14:val="standardContextual"/>
        </w:rPr>
      </w:pPr>
      <w:r w:rsidRPr="00FA0C6B">
        <w:rPr>
          <w:rFonts w:ascii="Calibri" w:eastAsiaTheme="minorHAnsi" w:hAnsi="Calibri" w:cs="Calibri"/>
          <w:sz w:val="22"/>
          <w:szCs w:val="22"/>
          <w:lang w:eastAsia="en-US"/>
          <w14:ligatures w14:val="standardContextual"/>
        </w:rPr>
        <w:t>R</w:t>
      </w:r>
      <w:r w:rsidR="007A45CE" w:rsidRPr="00FA0C6B">
        <w:rPr>
          <w:rFonts w:ascii="Calibri" w:eastAsiaTheme="minorHAnsi" w:hAnsi="Calibri" w:cs="Calibri"/>
          <w:sz w:val="22"/>
          <w:szCs w:val="22"/>
          <w:lang w:eastAsia="en-US"/>
          <w14:ligatures w14:val="standardContextual"/>
        </w:rPr>
        <w:t xml:space="preserve">esearch on how tourism industry impacts and interacts with local/indigenous culture and language is limited but there is evidence to suggest that the socio-cultural impacts of tourism may influence local inhabitants’ attitudes to tourism activities to a greater extent than do its economic and environmental dimensions (Peters, Chan &amp; Legerer, 2018).  </w:t>
      </w:r>
      <w:r w:rsidR="00B115D8" w:rsidRPr="00FA0C6B">
        <w:rPr>
          <w:rFonts w:ascii="Calibri" w:eastAsiaTheme="minorHAnsi" w:hAnsi="Calibri" w:cs="Calibri"/>
          <w:sz w:val="22"/>
          <w:szCs w:val="22"/>
          <w:lang w:eastAsia="en-US"/>
          <w14:ligatures w14:val="standardContextual"/>
        </w:rPr>
        <w:t>Relevantly</w:t>
      </w:r>
      <w:r w:rsidR="007A45CE" w:rsidRPr="00FA0C6B">
        <w:rPr>
          <w:rFonts w:ascii="Calibri" w:eastAsiaTheme="minorHAnsi" w:hAnsi="Calibri" w:cs="Calibri"/>
          <w:sz w:val="22"/>
          <w:szCs w:val="22"/>
          <w:lang w:eastAsia="en-US"/>
          <w14:ligatures w14:val="standardContextual"/>
        </w:rPr>
        <w:t xml:space="preserve"> to the Welsh language,</w:t>
      </w:r>
      <w:r w:rsidR="007A45CE" w:rsidRPr="00FA0C6B">
        <w:rPr>
          <w:rStyle w:val="normaltextrun"/>
          <w:rFonts w:ascii="Calibri" w:hAnsi="Calibri" w:cs="Calibri"/>
          <w:color w:val="000000"/>
          <w:sz w:val="22"/>
          <w:szCs w:val="22"/>
          <w:shd w:val="clear" w:color="auto" w:fill="FFFFFF"/>
        </w:rPr>
        <w:t xml:space="preserve"> t</w:t>
      </w:r>
      <w:r w:rsidR="009923B5" w:rsidRPr="00FA0C6B">
        <w:rPr>
          <w:rStyle w:val="normaltextrun"/>
          <w:rFonts w:ascii="Calibri" w:hAnsi="Calibri" w:cs="Calibri"/>
          <w:color w:val="000000"/>
          <w:sz w:val="22"/>
          <w:szCs w:val="22"/>
          <w:shd w:val="clear" w:color="auto" w:fill="FFFFFF"/>
        </w:rPr>
        <w:t>he situation within the AST sector might be complex where private companies</w:t>
      </w:r>
      <w:r w:rsidR="007A45CE" w:rsidRPr="00FA0C6B">
        <w:rPr>
          <w:rStyle w:val="normaltextrun"/>
          <w:rFonts w:ascii="Calibri" w:hAnsi="Calibri" w:cs="Calibri"/>
          <w:color w:val="000000"/>
          <w:sz w:val="22"/>
          <w:szCs w:val="22"/>
          <w:shd w:val="clear" w:color="auto" w:fill="FFFFFF"/>
        </w:rPr>
        <w:t xml:space="preserve"> (who are not obligated to </w:t>
      </w:r>
      <w:r w:rsidR="00B115D8" w:rsidRPr="00FA0C6B">
        <w:rPr>
          <w:rStyle w:val="normaltextrun"/>
          <w:rFonts w:ascii="Calibri" w:hAnsi="Calibri" w:cs="Calibri"/>
          <w:color w:val="000000"/>
          <w:sz w:val="22"/>
          <w:szCs w:val="22"/>
          <w:shd w:val="clear" w:color="auto" w:fill="FFFFFF"/>
        </w:rPr>
        <w:t>comply with Welsh language standards)</w:t>
      </w:r>
      <w:r w:rsidR="009923B5" w:rsidRPr="00FA0C6B">
        <w:rPr>
          <w:rStyle w:val="normaltextrun"/>
          <w:rFonts w:ascii="Calibri" w:hAnsi="Calibri" w:cs="Calibri"/>
          <w:color w:val="000000"/>
          <w:sz w:val="22"/>
          <w:szCs w:val="22"/>
          <w:shd w:val="clear" w:color="auto" w:fill="FFFFFF"/>
        </w:rPr>
        <w:t>, activity leaders, demonstrators and tourists may be limited in terms of their capacity to develop the use of Welsh culture and language</w:t>
      </w:r>
      <w:r w:rsidR="00B115D8" w:rsidRPr="00FA0C6B">
        <w:rPr>
          <w:rStyle w:val="normaltextrun"/>
          <w:rFonts w:ascii="Calibri" w:hAnsi="Calibri" w:cs="Calibri"/>
          <w:color w:val="000000"/>
          <w:sz w:val="22"/>
          <w:szCs w:val="22"/>
          <w:shd w:val="clear" w:color="auto" w:fill="FFFFFF"/>
        </w:rPr>
        <w:t xml:space="preserve">.  </w:t>
      </w:r>
      <w:r w:rsidR="00B115D8" w:rsidRPr="00FA0C6B">
        <w:rPr>
          <w:rFonts w:ascii="Calibri" w:eastAsiaTheme="minorHAnsi" w:hAnsi="Calibri" w:cs="Calibri"/>
          <w:sz w:val="22"/>
          <w:szCs w:val="22"/>
          <w:lang w:eastAsia="en-US"/>
          <w14:ligatures w14:val="standardContextual"/>
        </w:rPr>
        <w:t xml:space="preserve">The potential of tourism activities in Wales to </w:t>
      </w:r>
      <w:r w:rsidRPr="00FA0C6B">
        <w:rPr>
          <w:rFonts w:ascii="Calibri" w:eastAsiaTheme="minorHAnsi" w:hAnsi="Calibri" w:cs="Calibri"/>
          <w:sz w:val="22"/>
          <w:szCs w:val="22"/>
          <w:lang w:eastAsia="en-US"/>
          <w14:ligatures w14:val="standardContextual"/>
        </w:rPr>
        <w:t xml:space="preserve">fully </w:t>
      </w:r>
      <w:r w:rsidR="00B115D8" w:rsidRPr="00FA0C6B">
        <w:rPr>
          <w:rFonts w:ascii="Calibri" w:eastAsiaTheme="minorHAnsi" w:hAnsi="Calibri" w:cs="Calibri"/>
          <w:sz w:val="22"/>
          <w:szCs w:val="22"/>
          <w:lang w:eastAsia="en-US"/>
          <w14:ligatures w14:val="standardContextual"/>
        </w:rPr>
        <w:t xml:space="preserve">develop an appreciation of Welsh culture and language </w:t>
      </w:r>
      <w:r w:rsidR="00D21C07">
        <w:rPr>
          <w:rFonts w:ascii="Calibri" w:eastAsiaTheme="minorHAnsi" w:hAnsi="Calibri" w:cs="Calibri"/>
          <w:sz w:val="22"/>
          <w:szCs w:val="22"/>
          <w:lang w:eastAsia="en-US"/>
          <w14:ligatures w14:val="standardContextual"/>
        </w:rPr>
        <w:t xml:space="preserve">in rural areas </w:t>
      </w:r>
      <w:r w:rsidR="00B115D8" w:rsidRPr="00FA0C6B">
        <w:rPr>
          <w:rFonts w:ascii="Calibri" w:eastAsiaTheme="minorHAnsi" w:hAnsi="Calibri" w:cs="Calibri"/>
          <w:sz w:val="22"/>
          <w:szCs w:val="22"/>
          <w:lang w:eastAsia="en-US"/>
          <w14:ligatures w14:val="standardContextual"/>
        </w:rPr>
        <w:t xml:space="preserve">through immersive experiences </w:t>
      </w:r>
      <w:r w:rsidR="00836084">
        <w:rPr>
          <w:rFonts w:ascii="Calibri" w:eastAsiaTheme="minorHAnsi" w:hAnsi="Calibri" w:cs="Calibri"/>
          <w:sz w:val="22"/>
          <w:szCs w:val="22"/>
          <w:lang w:eastAsia="en-US"/>
          <w14:ligatures w14:val="standardContextual"/>
        </w:rPr>
        <w:t xml:space="preserve">and creating jobs for the young Welsh to stay within the area </w:t>
      </w:r>
      <w:r w:rsidR="00B115D8" w:rsidRPr="00FA0C6B">
        <w:rPr>
          <w:rFonts w:ascii="Calibri" w:eastAsiaTheme="minorHAnsi" w:hAnsi="Calibri" w:cs="Calibri"/>
          <w:sz w:val="22"/>
          <w:szCs w:val="22"/>
          <w:lang w:eastAsia="en-US"/>
          <w14:ligatures w14:val="standardContextual"/>
        </w:rPr>
        <w:t>is yet to be critically evaluated</w:t>
      </w:r>
      <w:r w:rsidR="005A6D5F" w:rsidRPr="00FA0C6B">
        <w:rPr>
          <w:rFonts w:ascii="Calibri" w:eastAsiaTheme="minorHAnsi" w:hAnsi="Calibri" w:cs="Calibri"/>
          <w:sz w:val="22"/>
          <w:szCs w:val="22"/>
          <w:lang w:eastAsia="en-US"/>
          <w14:ligatures w14:val="standardContextual"/>
        </w:rPr>
        <w:t xml:space="preserve">, and thus serves as the key </w:t>
      </w:r>
      <w:r w:rsidR="00687419" w:rsidRPr="00FA0C6B">
        <w:rPr>
          <w:rFonts w:ascii="Calibri" w:eastAsiaTheme="minorHAnsi" w:hAnsi="Calibri" w:cs="Calibri"/>
          <w:sz w:val="22"/>
          <w:szCs w:val="22"/>
          <w:lang w:eastAsia="en-US"/>
          <w14:ligatures w14:val="standardContextual"/>
        </w:rPr>
        <w:t>aim of this PhD research</w:t>
      </w:r>
      <w:r w:rsidR="00B115D8" w:rsidRPr="00FA0C6B">
        <w:rPr>
          <w:rFonts w:ascii="Calibri" w:eastAsiaTheme="minorHAnsi" w:hAnsi="Calibri" w:cs="Calibri"/>
          <w:sz w:val="22"/>
          <w:szCs w:val="22"/>
          <w:lang w:eastAsia="en-US"/>
          <w14:ligatures w14:val="standardContextual"/>
        </w:rPr>
        <w:t>.</w:t>
      </w:r>
    </w:p>
    <w:p w14:paraId="71B61ABA" w14:textId="77777777" w:rsidR="003A69B1" w:rsidRPr="00FA0C6B" w:rsidRDefault="003A69B1" w:rsidP="00FA0C6B">
      <w:pPr>
        <w:autoSpaceDE w:val="0"/>
        <w:autoSpaceDN w:val="0"/>
        <w:adjustRightInd w:val="0"/>
        <w:jc w:val="both"/>
        <w:rPr>
          <w:rFonts w:ascii="Calibri" w:eastAsiaTheme="minorHAnsi" w:hAnsi="Calibri" w:cs="Calibri"/>
          <w:sz w:val="22"/>
          <w:szCs w:val="22"/>
          <w:lang w:eastAsia="en-US"/>
          <w14:ligatures w14:val="standardContextual"/>
        </w:rPr>
      </w:pPr>
    </w:p>
    <w:p w14:paraId="12DE769E" w14:textId="77777777" w:rsidR="003A69B1" w:rsidRDefault="003A69B1" w:rsidP="00FA0C6B">
      <w:pPr>
        <w:autoSpaceDE w:val="0"/>
        <w:autoSpaceDN w:val="0"/>
        <w:adjustRightInd w:val="0"/>
        <w:jc w:val="both"/>
        <w:rPr>
          <w:rFonts w:ascii="Calibri" w:eastAsiaTheme="minorHAnsi" w:hAnsi="Calibri" w:cs="Calibri"/>
          <w:sz w:val="22"/>
          <w:szCs w:val="22"/>
          <w:lang w:eastAsia="en-US"/>
          <w14:ligatures w14:val="standardContextual"/>
        </w:rPr>
      </w:pPr>
    </w:p>
    <w:p w14:paraId="7BA0085A" w14:textId="77777777" w:rsidR="00226D97" w:rsidRPr="00FA0C6B" w:rsidRDefault="00226D97" w:rsidP="00FA0C6B">
      <w:pPr>
        <w:autoSpaceDE w:val="0"/>
        <w:autoSpaceDN w:val="0"/>
        <w:adjustRightInd w:val="0"/>
        <w:jc w:val="both"/>
        <w:rPr>
          <w:rFonts w:ascii="Calibri" w:eastAsiaTheme="minorHAnsi" w:hAnsi="Calibri" w:cs="Calibri"/>
          <w:sz w:val="22"/>
          <w:szCs w:val="22"/>
          <w:lang w:eastAsia="en-US"/>
          <w14:ligatures w14:val="standardContextual"/>
        </w:rPr>
      </w:pPr>
    </w:p>
    <w:p w14:paraId="781FCA01" w14:textId="77777777" w:rsidR="003A69B1" w:rsidRPr="00FA0C6B" w:rsidRDefault="003A69B1" w:rsidP="00FA0C6B">
      <w:pPr>
        <w:autoSpaceDE w:val="0"/>
        <w:autoSpaceDN w:val="0"/>
        <w:adjustRightInd w:val="0"/>
        <w:jc w:val="both"/>
        <w:rPr>
          <w:rFonts w:ascii="Calibri" w:eastAsiaTheme="minorHAnsi" w:hAnsi="Calibri" w:cs="Calibri"/>
          <w:sz w:val="22"/>
          <w:szCs w:val="22"/>
          <w:lang w:eastAsia="en-US"/>
          <w14:ligatures w14:val="standardContextual"/>
        </w:rPr>
      </w:pPr>
    </w:p>
    <w:p w14:paraId="258A3A1A" w14:textId="77777777" w:rsidR="00E80456" w:rsidRPr="00FA0C6B" w:rsidRDefault="00E80456" w:rsidP="00FA0C6B">
      <w:pPr>
        <w:autoSpaceDE w:val="0"/>
        <w:autoSpaceDN w:val="0"/>
        <w:adjustRightInd w:val="0"/>
        <w:jc w:val="both"/>
        <w:rPr>
          <w:rFonts w:ascii="Calibri" w:eastAsiaTheme="minorHAnsi" w:hAnsi="Calibri" w:cs="Calibri"/>
          <w:sz w:val="22"/>
          <w:szCs w:val="22"/>
          <w:lang w:eastAsia="en-US"/>
          <w14:ligatures w14:val="standardContextual"/>
        </w:rPr>
      </w:pPr>
    </w:p>
    <w:p w14:paraId="34FB3C12" w14:textId="77777777" w:rsidR="00E80456" w:rsidRPr="00FA0C6B" w:rsidRDefault="00E80456" w:rsidP="00FA0C6B">
      <w:pPr>
        <w:autoSpaceDE w:val="0"/>
        <w:autoSpaceDN w:val="0"/>
        <w:adjustRightInd w:val="0"/>
        <w:jc w:val="both"/>
        <w:rPr>
          <w:rFonts w:ascii="Calibri" w:eastAsiaTheme="minorHAnsi" w:hAnsi="Calibri" w:cs="Calibri"/>
          <w:sz w:val="22"/>
          <w:szCs w:val="22"/>
          <w:lang w:eastAsia="en-US"/>
          <w14:ligatures w14:val="standardContextual"/>
        </w:rPr>
      </w:pPr>
    </w:p>
    <w:p w14:paraId="3B767B14" w14:textId="77777777" w:rsidR="00E80456" w:rsidRDefault="00E80456" w:rsidP="00FA0C6B">
      <w:pPr>
        <w:autoSpaceDE w:val="0"/>
        <w:autoSpaceDN w:val="0"/>
        <w:adjustRightInd w:val="0"/>
        <w:rPr>
          <w:rFonts w:ascii="Calibri" w:eastAsiaTheme="minorHAnsi" w:hAnsi="Calibri" w:cs="Calibri"/>
          <w:sz w:val="22"/>
          <w:szCs w:val="22"/>
          <w:lang w:eastAsia="en-US"/>
          <w14:ligatures w14:val="standardContextual"/>
        </w:rPr>
      </w:pPr>
    </w:p>
    <w:p w14:paraId="182E6059" w14:textId="77777777" w:rsidR="00FA0C6B" w:rsidRPr="00FA0C6B" w:rsidRDefault="00FA0C6B" w:rsidP="00FA0C6B">
      <w:pPr>
        <w:autoSpaceDE w:val="0"/>
        <w:autoSpaceDN w:val="0"/>
        <w:adjustRightInd w:val="0"/>
        <w:rPr>
          <w:rFonts w:ascii="Calibri" w:eastAsiaTheme="minorHAnsi" w:hAnsi="Calibri" w:cs="Calibri"/>
          <w:sz w:val="22"/>
          <w:szCs w:val="22"/>
          <w:lang w:eastAsia="en-US"/>
          <w14:ligatures w14:val="standardContextual"/>
        </w:rPr>
      </w:pPr>
    </w:p>
    <w:p w14:paraId="5F25AABF" w14:textId="40409B1B" w:rsidR="00B4352F" w:rsidRPr="0071276A" w:rsidRDefault="00B4352F" w:rsidP="0071276A">
      <w:pPr>
        <w:pStyle w:val="HTMLPreformatted"/>
        <w:ind w:left="720" w:hanging="720"/>
        <w:rPr>
          <w:rFonts w:ascii="Calibri" w:hAnsi="Calibri" w:cs="Calibri"/>
          <w:b/>
          <w:bCs/>
          <w:color w:val="000000" w:themeColor="text1"/>
          <w:sz w:val="22"/>
          <w:szCs w:val="22"/>
        </w:rPr>
      </w:pPr>
      <w:r w:rsidRPr="00FA0C6B">
        <w:rPr>
          <w:rFonts w:ascii="Calibri" w:hAnsi="Calibri" w:cs="Calibri"/>
          <w:b/>
          <w:bCs/>
          <w:color w:val="000000" w:themeColor="text1"/>
          <w:sz w:val="22"/>
          <w:szCs w:val="22"/>
        </w:rPr>
        <w:t>References</w:t>
      </w:r>
      <w:r w:rsidR="00126951">
        <w:rPr>
          <w:rFonts w:ascii="Calibri" w:hAnsi="Calibri" w:cs="Calibri"/>
          <w:b/>
          <w:bCs/>
          <w:color w:val="000000" w:themeColor="text1"/>
          <w:sz w:val="22"/>
          <w:szCs w:val="22"/>
        </w:rPr>
        <w:t xml:space="preserve"> </w:t>
      </w:r>
    </w:p>
    <w:p w14:paraId="7EB75D9F" w14:textId="77777777" w:rsidR="00B4352F" w:rsidRPr="00FA0C6B" w:rsidRDefault="00B4352F" w:rsidP="00FA0C6B">
      <w:pPr>
        <w:ind w:left="720" w:hanging="720"/>
        <w:jc w:val="both"/>
        <w:rPr>
          <w:rFonts w:ascii="Calibri" w:hAnsi="Calibri" w:cs="Calibri"/>
          <w:color w:val="000000" w:themeColor="text1"/>
          <w:sz w:val="22"/>
          <w:szCs w:val="22"/>
        </w:rPr>
      </w:pPr>
      <w:r w:rsidRPr="00FA0C6B">
        <w:rPr>
          <w:rFonts w:ascii="Calibri" w:hAnsi="Calibri" w:cs="Calibri"/>
          <w:color w:val="000000" w:themeColor="text1"/>
          <w:sz w:val="22"/>
          <w:szCs w:val="22"/>
        </w:rPr>
        <w:t xml:space="preserve">Census. (2021). Welsh language by population characteristics (Census 2021) [online]. </w:t>
      </w:r>
      <w:r w:rsidRPr="00FA0C6B">
        <w:rPr>
          <w:rFonts w:ascii="Calibri" w:hAnsi="Calibri" w:cs="Calibri"/>
          <w:i/>
          <w:iCs/>
          <w:color w:val="000000" w:themeColor="text1"/>
          <w:sz w:val="22"/>
          <w:szCs w:val="22"/>
        </w:rPr>
        <w:t>Llywodraeth Cymru</w:t>
      </w:r>
      <w:r w:rsidRPr="00FA0C6B">
        <w:rPr>
          <w:rFonts w:ascii="Calibri" w:hAnsi="Calibri" w:cs="Calibri"/>
          <w:color w:val="000000" w:themeColor="text1"/>
          <w:sz w:val="22"/>
          <w:szCs w:val="22"/>
        </w:rPr>
        <w:t xml:space="preserve">. Available at: </w:t>
      </w:r>
      <w:hyperlink r:id="rId7" w:anchor=":~:text=Economic%20activity%20status-,The%20number%20and%20percentage%20of%20the%20population%20aged%2016%20years,%25)%20in%20the%202021%20Census" w:history="1">
        <w:r w:rsidRPr="00FA0C6B">
          <w:rPr>
            <w:rStyle w:val="Hyperlink"/>
            <w:rFonts w:ascii="Calibri" w:hAnsi="Calibri" w:cs="Calibri"/>
            <w:sz w:val="22"/>
            <w:szCs w:val="22"/>
          </w:rPr>
          <w:t>https://www.gov.wales/welsh-language-population-characteristics-census-2021-html#:~:text=Economic%20activity%20status-,The%20number%20and%20percentage%20of%20the%20population%20aged%2016%20years,%25)%20in%20the%202021%20Census</w:t>
        </w:r>
      </w:hyperlink>
      <w:r w:rsidRPr="00FA0C6B">
        <w:rPr>
          <w:rFonts w:ascii="Calibri" w:hAnsi="Calibri" w:cs="Calibri"/>
          <w:color w:val="000000" w:themeColor="text1"/>
          <w:sz w:val="22"/>
          <w:szCs w:val="22"/>
        </w:rPr>
        <w:t>. [Last accessed 13/01/24].</w:t>
      </w:r>
    </w:p>
    <w:p w14:paraId="5B8F9159" w14:textId="77777777" w:rsidR="00B4352F" w:rsidRPr="00FA0C6B" w:rsidRDefault="00B4352F" w:rsidP="00FA0C6B">
      <w:pPr>
        <w:ind w:left="720" w:hanging="720"/>
        <w:jc w:val="both"/>
        <w:rPr>
          <w:rFonts w:ascii="Calibri" w:hAnsi="Calibri" w:cs="Calibri"/>
          <w:color w:val="000000" w:themeColor="text1"/>
          <w:sz w:val="22"/>
          <w:szCs w:val="22"/>
        </w:rPr>
      </w:pPr>
      <w:r w:rsidRPr="00FA0C6B">
        <w:rPr>
          <w:rFonts w:ascii="Calibri" w:hAnsi="Calibri" w:cs="Calibri"/>
          <w:color w:val="000000" w:themeColor="text1"/>
          <w:sz w:val="22"/>
          <w:szCs w:val="22"/>
        </w:rPr>
        <w:t xml:space="preserve">Chambers, R. (1994). The origins and practice of participatory rural appraisal. </w:t>
      </w:r>
      <w:r w:rsidRPr="00FA0C6B">
        <w:rPr>
          <w:rFonts w:ascii="Calibri" w:hAnsi="Calibri" w:cs="Calibri"/>
          <w:i/>
          <w:iCs/>
          <w:color w:val="000000" w:themeColor="text1"/>
          <w:sz w:val="22"/>
          <w:szCs w:val="22"/>
        </w:rPr>
        <w:t>World Development</w:t>
      </w:r>
      <w:r w:rsidRPr="00FA0C6B">
        <w:rPr>
          <w:rFonts w:ascii="Calibri" w:hAnsi="Calibri" w:cs="Calibri"/>
          <w:color w:val="000000" w:themeColor="text1"/>
          <w:sz w:val="22"/>
          <w:szCs w:val="22"/>
        </w:rPr>
        <w:t>, 22(1), 953-969.</w:t>
      </w:r>
    </w:p>
    <w:p w14:paraId="2DC7F573" w14:textId="77777777" w:rsidR="00B4352F" w:rsidRPr="00FA0C6B" w:rsidRDefault="00B4352F" w:rsidP="00FA0C6B">
      <w:pPr>
        <w:ind w:left="720" w:hanging="720"/>
        <w:jc w:val="both"/>
        <w:rPr>
          <w:rFonts w:ascii="Calibri" w:hAnsi="Calibri" w:cs="Calibri"/>
          <w:color w:val="000000" w:themeColor="text1"/>
          <w:sz w:val="22"/>
          <w:szCs w:val="22"/>
        </w:rPr>
      </w:pPr>
      <w:r w:rsidRPr="00FA0C6B">
        <w:rPr>
          <w:rFonts w:ascii="Calibri" w:hAnsi="Calibri" w:cs="Calibri"/>
          <w:color w:val="000000" w:themeColor="text1"/>
          <w:sz w:val="22"/>
          <w:szCs w:val="22"/>
        </w:rPr>
        <w:t xml:space="preserve">Costa, C.A. &amp; Chalip, L. (2006). Adventure Sport Tourism in Rural Revitalisation – An Ethnographic Evaluation. </w:t>
      </w:r>
      <w:r w:rsidRPr="00FA0C6B">
        <w:rPr>
          <w:rFonts w:ascii="Calibri" w:hAnsi="Calibri" w:cs="Calibri"/>
          <w:i/>
          <w:iCs/>
          <w:color w:val="000000" w:themeColor="text1"/>
          <w:sz w:val="22"/>
          <w:szCs w:val="22"/>
        </w:rPr>
        <w:t>European Sport Management Quarterly</w:t>
      </w:r>
      <w:r w:rsidRPr="00FA0C6B">
        <w:rPr>
          <w:rFonts w:ascii="Calibri" w:hAnsi="Calibri" w:cs="Calibri"/>
          <w:color w:val="000000" w:themeColor="text1"/>
          <w:sz w:val="22"/>
          <w:szCs w:val="22"/>
        </w:rPr>
        <w:t>, 5(3), 257-279.</w:t>
      </w:r>
    </w:p>
    <w:p w14:paraId="6B2008C1" w14:textId="77777777" w:rsidR="00B4352F" w:rsidRPr="00FA0C6B" w:rsidRDefault="00B4352F" w:rsidP="00FA0C6B">
      <w:pPr>
        <w:ind w:left="720" w:hanging="720"/>
        <w:jc w:val="both"/>
        <w:rPr>
          <w:rFonts w:ascii="Calibri" w:hAnsi="Calibri" w:cs="Calibri"/>
          <w:color w:val="000000" w:themeColor="text1"/>
          <w:sz w:val="22"/>
          <w:szCs w:val="22"/>
        </w:rPr>
      </w:pPr>
      <w:r w:rsidRPr="00FA0C6B">
        <w:rPr>
          <w:rFonts w:ascii="Calibri" w:hAnsi="Calibri" w:cs="Calibri"/>
          <w:color w:val="000000" w:themeColor="text1"/>
          <w:sz w:val="22"/>
          <w:szCs w:val="22"/>
        </w:rPr>
        <w:t xml:space="preserve">Dennison, J. (2018). Thoughts on the adventure sports industry. In </w:t>
      </w:r>
      <w:r w:rsidRPr="00FA0C6B">
        <w:rPr>
          <w:rFonts w:ascii="Calibri" w:hAnsi="Calibri" w:cs="Calibri"/>
          <w:i/>
          <w:iCs/>
          <w:color w:val="000000" w:themeColor="text1"/>
          <w:sz w:val="22"/>
          <w:szCs w:val="22"/>
        </w:rPr>
        <w:t>Adventure Tourism and Outdoor Activities Management: a 21</w:t>
      </w:r>
      <w:r w:rsidRPr="00FA0C6B">
        <w:rPr>
          <w:rFonts w:ascii="Calibri" w:hAnsi="Calibri" w:cs="Calibri"/>
          <w:i/>
          <w:iCs/>
          <w:color w:val="000000" w:themeColor="text1"/>
          <w:sz w:val="22"/>
          <w:szCs w:val="22"/>
          <w:vertAlign w:val="superscript"/>
        </w:rPr>
        <w:t>st</w:t>
      </w:r>
      <w:r w:rsidRPr="00FA0C6B">
        <w:rPr>
          <w:rFonts w:ascii="Calibri" w:hAnsi="Calibri" w:cs="Calibri"/>
          <w:i/>
          <w:iCs/>
          <w:color w:val="000000" w:themeColor="text1"/>
          <w:sz w:val="22"/>
          <w:szCs w:val="22"/>
        </w:rPr>
        <w:t xml:space="preserve"> century toolkit</w:t>
      </w:r>
      <w:r w:rsidRPr="00FA0C6B">
        <w:rPr>
          <w:rFonts w:ascii="Calibri" w:hAnsi="Calibri" w:cs="Calibri"/>
          <w:color w:val="000000" w:themeColor="text1"/>
          <w:sz w:val="22"/>
          <w:szCs w:val="22"/>
        </w:rPr>
        <w:t>, 183-187.</w:t>
      </w:r>
    </w:p>
    <w:p w14:paraId="46FCB4FF" w14:textId="77777777" w:rsidR="00B4352F" w:rsidRPr="00FA0C6B" w:rsidRDefault="00B4352F" w:rsidP="00FA0C6B">
      <w:pPr>
        <w:ind w:left="720" w:hanging="720"/>
        <w:jc w:val="both"/>
        <w:rPr>
          <w:rFonts w:ascii="Calibri" w:hAnsi="Calibri" w:cs="Calibri"/>
          <w:color w:val="000000" w:themeColor="text1"/>
          <w:sz w:val="22"/>
          <w:szCs w:val="22"/>
        </w:rPr>
      </w:pPr>
      <w:r w:rsidRPr="00FA0C6B">
        <w:rPr>
          <w:rFonts w:ascii="Calibri" w:hAnsi="Calibri" w:cs="Calibri"/>
          <w:color w:val="000000" w:themeColor="text1"/>
          <w:sz w:val="22"/>
          <w:szCs w:val="22"/>
        </w:rPr>
        <w:t xml:space="preserve">Edwards, J. &amp; Fernandes, C. (1999). Emigrants and espigueiros: Tourism activities in a peripheral area of Portugal. </w:t>
      </w:r>
      <w:r w:rsidRPr="00FA0C6B">
        <w:rPr>
          <w:rFonts w:ascii="Calibri" w:hAnsi="Calibri" w:cs="Calibri"/>
          <w:i/>
          <w:iCs/>
          <w:color w:val="000000" w:themeColor="text1"/>
          <w:sz w:val="22"/>
          <w:szCs w:val="22"/>
        </w:rPr>
        <w:t>International Journal of Tourism Research</w:t>
      </w:r>
      <w:r w:rsidRPr="00FA0C6B">
        <w:rPr>
          <w:rFonts w:ascii="Calibri" w:hAnsi="Calibri" w:cs="Calibri"/>
          <w:color w:val="000000" w:themeColor="text1"/>
          <w:sz w:val="22"/>
          <w:szCs w:val="22"/>
        </w:rPr>
        <w:t>, 1(5), 329-340.</w:t>
      </w:r>
    </w:p>
    <w:p w14:paraId="67B86F3B" w14:textId="77777777" w:rsidR="00B4352F" w:rsidRPr="00FA0C6B" w:rsidRDefault="00B4352F" w:rsidP="00FA0C6B">
      <w:pPr>
        <w:ind w:left="720" w:hanging="720"/>
        <w:jc w:val="both"/>
        <w:rPr>
          <w:rFonts w:ascii="Calibri" w:hAnsi="Calibri" w:cs="Calibri"/>
          <w:color w:val="000000" w:themeColor="text1"/>
          <w:sz w:val="22"/>
          <w:szCs w:val="22"/>
        </w:rPr>
      </w:pPr>
      <w:r w:rsidRPr="00FA0C6B">
        <w:rPr>
          <w:rFonts w:ascii="Calibri" w:hAnsi="Calibri" w:cs="Calibri"/>
          <w:color w:val="000000" w:themeColor="text1"/>
          <w:sz w:val="22"/>
          <w:szCs w:val="22"/>
        </w:rPr>
        <w:t xml:space="preserve">Finch, D.J. &amp; Legg, D. (2021). Understanding the active economy and emerging research on the value of sports, recreation and wellness. Hershey, Pa, </w:t>
      </w:r>
      <w:r w:rsidRPr="00FA0C6B">
        <w:rPr>
          <w:rFonts w:ascii="Calibri" w:hAnsi="Calibri" w:cs="Calibri"/>
          <w:i/>
          <w:iCs/>
          <w:color w:val="000000" w:themeColor="text1"/>
          <w:sz w:val="22"/>
          <w:szCs w:val="22"/>
        </w:rPr>
        <w:t>USA Business Science Reference.</w:t>
      </w:r>
    </w:p>
    <w:p w14:paraId="2990070C" w14:textId="77777777" w:rsidR="00B4352F" w:rsidRPr="00FA0C6B" w:rsidRDefault="00B4352F" w:rsidP="00FA0C6B">
      <w:pPr>
        <w:ind w:left="720" w:hanging="720"/>
        <w:jc w:val="both"/>
        <w:rPr>
          <w:rFonts w:ascii="Calibri" w:hAnsi="Calibri" w:cs="Calibri"/>
          <w:color w:val="000000" w:themeColor="text1"/>
          <w:sz w:val="22"/>
          <w:szCs w:val="22"/>
        </w:rPr>
      </w:pPr>
      <w:r w:rsidRPr="00FA0C6B">
        <w:rPr>
          <w:rFonts w:ascii="Calibri" w:hAnsi="Calibri" w:cs="Calibri"/>
          <w:color w:val="000000" w:themeColor="text1"/>
          <w:sz w:val="22"/>
          <w:szCs w:val="22"/>
        </w:rPr>
        <w:t xml:space="preserve">Future Generations Wales. (2015). Well-being of future generations (Wales) act 2015 [online]. </w:t>
      </w:r>
      <w:r w:rsidRPr="00FA0C6B">
        <w:rPr>
          <w:rFonts w:ascii="Calibri" w:hAnsi="Calibri" w:cs="Calibri"/>
          <w:i/>
          <w:iCs/>
          <w:color w:val="000000" w:themeColor="text1"/>
          <w:sz w:val="22"/>
          <w:szCs w:val="22"/>
        </w:rPr>
        <w:t>Future Generations Wales</w:t>
      </w:r>
      <w:r w:rsidRPr="00FA0C6B">
        <w:rPr>
          <w:rFonts w:ascii="Calibri" w:hAnsi="Calibri" w:cs="Calibri"/>
          <w:color w:val="000000" w:themeColor="text1"/>
          <w:sz w:val="22"/>
          <w:szCs w:val="22"/>
        </w:rPr>
        <w:t xml:space="preserve">. Available at: </w:t>
      </w:r>
      <w:hyperlink r:id="rId8" w:history="1">
        <w:r w:rsidRPr="00FA0C6B">
          <w:rPr>
            <w:rStyle w:val="Hyperlink"/>
            <w:rFonts w:ascii="Calibri" w:hAnsi="Calibri" w:cs="Calibri"/>
            <w:sz w:val="22"/>
            <w:szCs w:val="22"/>
          </w:rPr>
          <w:t>https://www.futuregenerations.wales/wp-content/uploads/2017/02/150623-guide-to-the-fg-act-en.pdf</w:t>
        </w:r>
      </w:hyperlink>
      <w:r w:rsidRPr="00FA0C6B">
        <w:rPr>
          <w:rFonts w:ascii="Calibri" w:hAnsi="Calibri" w:cs="Calibri"/>
          <w:color w:val="000000" w:themeColor="text1"/>
          <w:sz w:val="22"/>
          <w:szCs w:val="22"/>
        </w:rPr>
        <w:t xml:space="preserve"> [Last accessed 13/01/24]. </w:t>
      </w:r>
    </w:p>
    <w:p w14:paraId="156B1E52" w14:textId="77777777" w:rsidR="00B4352F" w:rsidRPr="00FA0C6B" w:rsidRDefault="00B4352F" w:rsidP="00FA0C6B">
      <w:pPr>
        <w:ind w:left="720" w:hanging="720"/>
        <w:jc w:val="both"/>
        <w:rPr>
          <w:rFonts w:ascii="Calibri" w:hAnsi="Calibri" w:cs="Calibri"/>
          <w:color w:val="000000" w:themeColor="text1"/>
          <w:sz w:val="22"/>
          <w:szCs w:val="22"/>
        </w:rPr>
      </w:pPr>
      <w:r w:rsidRPr="00FA0C6B">
        <w:rPr>
          <w:rFonts w:ascii="Calibri" w:hAnsi="Calibri" w:cs="Calibri"/>
          <w:color w:val="000000" w:themeColor="text1"/>
          <w:sz w:val="22"/>
          <w:szCs w:val="22"/>
        </w:rPr>
        <w:t xml:space="preserve">Hall, D. (2004). Rural tourism development in southeastern Europe: transition and the search for sustainability. </w:t>
      </w:r>
      <w:r w:rsidRPr="00FA0C6B">
        <w:rPr>
          <w:rFonts w:ascii="Calibri" w:hAnsi="Calibri" w:cs="Calibri"/>
          <w:i/>
          <w:iCs/>
          <w:color w:val="000000" w:themeColor="text1"/>
          <w:sz w:val="22"/>
          <w:szCs w:val="22"/>
        </w:rPr>
        <w:t>International Journal of Tourism Research</w:t>
      </w:r>
      <w:r w:rsidRPr="00FA0C6B">
        <w:rPr>
          <w:rFonts w:ascii="Calibri" w:hAnsi="Calibri" w:cs="Calibri"/>
          <w:color w:val="000000" w:themeColor="text1"/>
          <w:sz w:val="22"/>
          <w:szCs w:val="22"/>
        </w:rPr>
        <w:t xml:space="preserve">, 6(3), 165-176. </w:t>
      </w:r>
    </w:p>
    <w:p w14:paraId="4976E3CA" w14:textId="77777777" w:rsidR="00B4352F" w:rsidRPr="00FA0C6B" w:rsidRDefault="00B4352F" w:rsidP="00FA0C6B">
      <w:pPr>
        <w:ind w:left="720" w:hanging="720"/>
        <w:jc w:val="both"/>
        <w:rPr>
          <w:rFonts w:ascii="Calibri" w:hAnsi="Calibri" w:cs="Calibri"/>
          <w:color w:val="000000" w:themeColor="text1"/>
          <w:sz w:val="22"/>
          <w:szCs w:val="22"/>
        </w:rPr>
      </w:pPr>
      <w:r w:rsidRPr="00FA0C6B">
        <w:rPr>
          <w:rFonts w:ascii="Calibri" w:hAnsi="Calibri" w:cs="Calibri"/>
          <w:color w:val="000000" w:themeColor="text1"/>
          <w:sz w:val="22"/>
          <w:szCs w:val="22"/>
        </w:rPr>
        <w:t xml:space="preserve">Keith, J., Fawson, C. &amp; Chang, T. (1996). Recreation as an economic development strategy: Some evidence from Utah. </w:t>
      </w:r>
      <w:r w:rsidRPr="00FA0C6B">
        <w:rPr>
          <w:rFonts w:ascii="Calibri" w:hAnsi="Calibri" w:cs="Calibri"/>
          <w:i/>
          <w:iCs/>
          <w:color w:val="000000" w:themeColor="text1"/>
          <w:sz w:val="22"/>
          <w:szCs w:val="22"/>
        </w:rPr>
        <w:t>Journal of Leisure Research</w:t>
      </w:r>
      <w:r w:rsidRPr="00FA0C6B">
        <w:rPr>
          <w:rFonts w:ascii="Calibri" w:hAnsi="Calibri" w:cs="Calibri"/>
          <w:color w:val="000000" w:themeColor="text1"/>
          <w:sz w:val="22"/>
          <w:szCs w:val="22"/>
        </w:rPr>
        <w:t>, 28(1), 96-107.</w:t>
      </w:r>
    </w:p>
    <w:p w14:paraId="08BA18CD" w14:textId="77777777" w:rsidR="00B4352F" w:rsidRPr="00FA0C6B" w:rsidRDefault="00B4352F" w:rsidP="00FA0C6B">
      <w:pPr>
        <w:ind w:left="720" w:hanging="720"/>
        <w:jc w:val="both"/>
        <w:rPr>
          <w:rFonts w:ascii="Calibri" w:hAnsi="Calibri" w:cs="Calibri"/>
          <w:color w:val="212529"/>
          <w:sz w:val="22"/>
          <w:szCs w:val="22"/>
          <w:shd w:val="clear" w:color="auto" w:fill="F9F9F9"/>
        </w:rPr>
      </w:pPr>
      <w:r w:rsidRPr="00FA0C6B">
        <w:rPr>
          <w:rFonts w:ascii="Calibri" w:hAnsi="Calibri" w:cs="Calibri"/>
          <w:color w:val="212529"/>
          <w:sz w:val="22"/>
          <w:szCs w:val="22"/>
          <w:shd w:val="clear" w:color="auto" w:fill="F9F9F9"/>
        </w:rPr>
        <w:t xml:space="preserve">Llywodraeth Cymru. (2023). Wellbeing of Wales, 2023 [online]. </w:t>
      </w:r>
      <w:r w:rsidRPr="00FA0C6B">
        <w:rPr>
          <w:rFonts w:ascii="Calibri" w:hAnsi="Calibri" w:cs="Calibri"/>
          <w:i/>
          <w:iCs/>
          <w:color w:val="212529"/>
          <w:sz w:val="22"/>
          <w:szCs w:val="22"/>
          <w:shd w:val="clear" w:color="auto" w:fill="F9F9F9"/>
        </w:rPr>
        <w:t>Llywodraeth Cymru</w:t>
      </w:r>
      <w:r w:rsidRPr="00FA0C6B">
        <w:rPr>
          <w:rFonts w:ascii="Calibri" w:hAnsi="Calibri" w:cs="Calibri"/>
          <w:color w:val="212529"/>
          <w:sz w:val="22"/>
          <w:szCs w:val="22"/>
          <w:shd w:val="clear" w:color="auto" w:fill="F9F9F9"/>
        </w:rPr>
        <w:t xml:space="preserve">. Available at: </w:t>
      </w:r>
      <w:hyperlink r:id="rId9" w:history="1">
        <w:r w:rsidRPr="00FA0C6B">
          <w:rPr>
            <w:rStyle w:val="Hyperlink"/>
            <w:rFonts w:ascii="Calibri" w:hAnsi="Calibri" w:cs="Calibri"/>
            <w:sz w:val="22"/>
            <w:szCs w:val="22"/>
            <w:shd w:val="clear" w:color="auto" w:fill="F9F9F9"/>
          </w:rPr>
          <w:t>https://www.gov.wales/wellbeing-wales-2023-wales-vibrant-culture-and-thriving-welsh-language-html</w:t>
        </w:r>
      </w:hyperlink>
      <w:r w:rsidRPr="00FA0C6B">
        <w:rPr>
          <w:rFonts w:ascii="Calibri" w:hAnsi="Calibri" w:cs="Calibri"/>
          <w:color w:val="212529"/>
          <w:sz w:val="22"/>
          <w:szCs w:val="22"/>
          <w:shd w:val="clear" w:color="auto" w:fill="F9F9F9"/>
        </w:rPr>
        <w:t xml:space="preserve"> [Last accessed 13/01/24]. </w:t>
      </w:r>
    </w:p>
    <w:p w14:paraId="10FBBAF8" w14:textId="77777777" w:rsidR="00B4352F" w:rsidRPr="00FA0C6B" w:rsidRDefault="00B4352F" w:rsidP="00FA0C6B">
      <w:pPr>
        <w:ind w:left="720" w:hanging="720"/>
        <w:jc w:val="both"/>
        <w:rPr>
          <w:rFonts w:ascii="Calibri" w:hAnsi="Calibri" w:cs="Calibri"/>
          <w:color w:val="212529"/>
          <w:sz w:val="22"/>
          <w:szCs w:val="22"/>
          <w:shd w:val="clear" w:color="auto" w:fill="F9F9F9"/>
        </w:rPr>
      </w:pPr>
      <w:r w:rsidRPr="00FA0C6B">
        <w:rPr>
          <w:rFonts w:ascii="Calibri" w:hAnsi="Calibri" w:cs="Calibri"/>
          <w:color w:val="212529"/>
          <w:sz w:val="22"/>
          <w:szCs w:val="22"/>
          <w:shd w:val="clear" w:color="auto" w:fill="F9F9F9"/>
        </w:rPr>
        <w:t xml:space="preserve">Muskett, C. (2020). The current state of outdoor activity provision in Wales. </w:t>
      </w:r>
      <w:r w:rsidRPr="00FA0C6B">
        <w:rPr>
          <w:rFonts w:ascii="Calibri" w:hAnsi="Calibri" w:cs="Calibri"/>
          <w:i/>
          <w:iCs/>
          <w:color w:val="212529"/>
          <w:sz w:val="22"/>
          <w:szCs w:val="22"/>
          <w:shd w:val="clear" w:color="auto" w:fill="F9F9F9"/>
        </w:rPr>
        <w:t>Bangor University</w:t>
      </w:r>
      <w:r w:rsidRPr="00FA0C6B">
        <w:rPr>
          <w:rFonts w:ascii="Calibri" w:hAnsi="Calibri" w:cs="Calibri"/>
          <w:color w:val="212529"/>
          <w:sz w:val="22"/>
          <w:szCs w:val="22"/>
          <w:shd w:val="clear" w:color="auto" w:fill="F9F9F9"/>
        </w:rPr>
        <w:t>, Bangor.</w:t>
      </w:r>
    </w:p>
    <w:p w14:paraId="24408873" w14:textId="77777777" w:rsidR="00B4352F" w:rsidRPr="00FA0C6B" w:rsidRDefault="00B4352F" w:rsidP="00FA0C6B">
      <w:pPr>
        <w:ind w:left="720" w:hanging="720"/>
        <w:jc w:val="both"/>
        <w:rPr>
          <w:rFonts w:ascii="Calibri" w:hAnsi="Calibri" w:cs="Calibri"/>
          <w:color w:val="212529"/>
          <w:sz w:val="22"/>
          <w:szCs w:val="22"/>
          <w:shd w:val="clear" w:color="auto" w:fill="F9F9F9"/>
        </w:rPr>
      </w:pPr>
      <w:r w:rsidRPr="00FA0C6B">
        <w:rPr>
          <w:rFonts w:ascii="Calibri" w:hAnsi="Calibri" w:cs="Calibri"/>
          <w:color w:val="212529"/>
          <w:sz w:val="22"/>
          <w:szCs w:val="22"/>
          <w:shd w:val="clear" w:color="auto" w:fill="F9F9F9"/>
        </w:rPr>
        <w:t xml:space="preserve">Page, S.J., Steele, W. &amp; Connell, J. (2006). Analysing the promotion of Adventure Tourism: A case study of Scotland. </w:t>
      </w:r>
      <w:r w:rsidRPr="00FA0C6B">
        <w:rPr>
          <w:rFonts w:ascii="Calibri" w:hAnsi="Calibri" w:cs="Calibri"/>
          <w:i/>
          <w:iCs/>
          <w:color w:val="212529"/>
          <w:sz w:val="22"/>
          <w:szCs w:val="22"/>
          <w:shd w:val="clear" w:color="auto" w:fill="F9F9F9"/>
        </w:rPr>
        <w:t>Journal of Sport &amp; Tourism</w:t>
      </w:r>
      <w:r w:rsidRPr="00FA0C6B">
        <w:rPr>
          <w:rFonts w:ascii="Calibri" w:hAnsi="Calibri" w:cs="Calibri"/>
          <w:color w:val="212529"/>
          <w:sz w:val="22"/>
          <w:szCs w:val="22"/>
          <w:shd w:val="clear" w:color="auto" w:fill="F9F9F9"/>
        </w:rPr>
        <w:t xml:space="preserve">, 11(1), 51-76. </w:t>
      </w:r>
    </w:p>
    <w:p w14:paraId="5ABF5AC6" w14:textId="77777777" w:rsidR="00B4352F" w:rsidRPr="00FA0C6B" w:rsidRDefault="00B4352F" w:rsidP="00FA0C6B">
      <w:pPr>
        <w:ind w:left="720" w:hanging="720"/>
        <w:jc w:val="both"/>
        <w:rPr>
          <w:rFonts w:ascii="Calibri" w:hAnsi="Calibri" w:cs="Calibri"/>
          <w:color w:val="212529"/>
          <w:sz w:val="22"/>
          <w:szCs w:val="22"/>
          <w:shd w:val="clear" w:color="auto" w:fill="F9F9F9"/>
        </w:rPr>
      </w:pPr>
      <w:r w:rsidRPr="00FA0C6B">
        <w:rPr>
          <w:rFonts w:ascii="Calibri" w:hAnsi="Calibri" w:cs="Calibri"/>
          <w:color w:val="212529"/>
          <w:sz w:val="22"/>
          <w:szCs w:val="22"/>
          <w:shd w:val="clear" w:color="auto" w:fill="F9F9F9"/>
        </w:rPr>
        <w:t xml:space="preserve">Peters, M., Chan, C-S. &amp; Legerer, A. (2018). Local perception of impact-attitudes-actions towards tourism development in the Urlaubsregion Murtal in Austria. </w:t>
      </w:r>
      <w:r w:rsidRPr="00FA0C6B">
        <w:rPr>
          <w:rFonts w:ascii="Calibri" w:hAnsi="Calibri" w:cs="Calibri"/>
          <w:i/>
          <w:iCs/>
          <w:color w:val="212529"/>
          <w:sz w:val="22"/>
          <w:szCs w:val="22"/>
          <w:shd w:val="clear" w:color="auto" w:fill="F9F9F9"/>
        </w:rPr>
        <w:t>Sustainability</w:t>
      </w:r>
      <w:r w:rsidRPr="00FA0C6B">
        <w:rPr>
          <w:rFonts w:ascii="Calibri" w:hAnsi="Calibri" w:cs="Calibri"/>
          <w:color w:val="212529"/>
          <w:sz w:val="22"/>
          <w:szCs w:val="22"/>
          <w:shd w:val="clear" w:color="auto" w:fill="F9F9F9"/>
        </w:rPr>
        <w:t>, 10(7), 2360.</w:t>
      </w:r>
    </w:p>
    <w:p w14:paraId="7A0A4434" w14:textId="77777777" w:rsidR="00B4352F" w:rsidRPr="00FA0C6B" w:rsidRDefault="00B4352F" w:rsidP="00FA0C6B">
      <w:pPr>
        <w:ind w:left="720" w:hanging="720"/>
        <w:jc w:val="both"/>
        <w:rPr>
          <w:rFonts w:ascii="Calibri" w:hAnsi="Calibri" w:cs="Calibri"/>
          <w:color w:val="212529"/>
          <w:sz w:val="22"/>
          <w:szCs w:val="22"/>
          <w:shd w:val="clear" w:color="auto" w:fill="F9F9F9"/>
        </w:rPr>
      </w:pPr>
      <w:r w:rsidRPr="00FA0C6B">
        <w:rPr>
          <w:rFonts w:ascii="Calibri" w:hAnsi="Calibri" w:cs="Calibri"/>
          <w:color w:val="212529"/>
          <w:sz w:val="22"/>
          <w:szCs w:val="22"/>
          <w:shd w:val="clear" w:color="auto" w:fill="F9F9F9"/>
        </w:rPr>
        <w:t xml:space="preserve">Roberts, L. &amp; Hall, D. (2001). Rural tourism and recreation: Principles to practice. Oxford: </w:t>
      </w:r>
      <w:r w:rsidRPr="00FA0C6B">
        <w:rPr>
          <w:rFonts w:ascii="Calibri" w:hAnsi="Calibri" w:cs="Calibri"/>
          <w:i/>
          <w:iCs/>
          <w:color w:val="212529"/>
          <w:sz w:val="22"/>
          <w:szCs w:val="22"/>
          <w:shd w:val="clear" w:color="auto" w:fill="F9F9F9"/>
        </w:rPr>
        <w:t>CABI</w:t>
      </w:r>
      <w:r w:rsidRPr="00FA0C6B">
        <w:rPr>
          <w:rFonts w:ascii="Calibri" w:hAnsi="Calibri" w:cs="Calibri"/>
          <w:color w:val="212529"/>
          <w:sz w:val="22"/>
          <w:szCs w:val="22"/>
          <w:shd w:val="clear" w:color="auto" w:fill="F9F9F9"/>
        </w:rPr>
        <w:t xml:space="preserve">. </w:t>
      </w:r>
    </w:p>
    <w:p w14:paraId="29AA7167" w14:textId="77777777" w:rsidR="00B4352F" w:rsidRPr="00FA0C6B" w:rsidRDefault="00B4352F" w:rsidP="00FA0C6B">
      <w:pPr>
        <w:ind w:left="720" w:hanging="720"/>
        <w:jc w:val="both"/>
        <w:rPr>
          <w:rFonts w:ascii="Calibri" w:hAnsi="Calibri" w:cs="Calibri"/>
          <w:color w:val="212529"/>
          <w:sz w:val="22"/>
          <w:szCs w:val="22"/>
          <w:shd w:val="clear" w:color="auto" w:fill="F9F9F9"/>
        </w:rPr>
      </w:pPr>
      <w:r w:rsidRPr="00FA0C6B">
        <w:rPr>
          <w:rFonts w:ascii="Calibri" w:hAnsi="Calibri" w:cs="Calibri"/>
          <w:color w:val="212529"/>
          <w:sz w:val="22"/>
          <w:szCs w:val="22"/>
          <w:shd w:val="clear" w:color="auto" w:fill="F9F9F9"/>
        </w:rPr>
        <w:t xml:space="preserve">Sport Wales. (2023). 4. Everyone [online]. </w:t>
      </w:r>
      <w:r w:rsidRPr="00FA0C6B">
        <w:rPr>
          <w:rFonts w:ascii="Calibri" w:hAnsi="Calibri" w:cs="Calibri"/>
          <w:i/>
          <w:iCs/>
          <w:color w:val="212529"/>
          <w:sz w:val="22"/>
          <w:szCs w:val="22"/>
          <w:shd w:val="clear" w:color="auto" w:fill="F9F9F9"/>
        </w:rPr>
        <w:t>Sport Wales</w:t>
      </w:r>
      <w:r w:rsidRPr="00FA0C6B">
        <w:rPr>
          <w:rFonts w:ascii="Calibri" w:hAnsi="Calibri" w:cs="Calibri"/>
          <w:color w:val="212529"/>
          <w:sz w:val="22"/>
          <w:szCs w:val="22"/>
          <w:shd w:val="clear" w:color="auto" w:fill="F9F9F9"/>
        </w:rPr>
        <w:t xml:space="preserve">. Available at: </w:t>
      </w:r>
      <w:hyperlink r:id="rId10" w:history="1">
        <w:r w:rsidRPr="00FA0C6B">
          <w:rPr>
            <w:rStyle w:val="Hyperlink"/>
            <w:rFonts w:ascii="Calibri" w:hAnsi="Calibri" w:cs="Calibri"/>
            <w:sz w:val="22"/>
            <w:szCs w:val="22"/>
            <w:shd w:val="clear" w:color="auto" w:fill="F9F9F9"/>
          </w:rPr>
          <w:t>https://www.sport.wales/research-and-insight/school-sport-survey/everyone/</w:t>
        </w:r>
      </w:hyperlink>
      <w:r w:rsidRPr="00FA0C6B">
        <w:rPr>
          <w:rFonts w:ascii="Calibri" w:hAnsi="Calibri" w:cs="Calibri"/>
          <w:color w:val="212529"/>
          <w:sz w:val="22"/>
          <w:szCs w:val="22"/>
          <w:shd w:val="clear" w:color="auto" w:fill="F9F9F9"/>
        </w:rPr>
        <w:t xml:space="preserve"> [Last accessed 13/01/24].</w:t>
      </w:r>
    </w:p>
    <w:p w14:paraId="0ACD3C2F" w14:textId="77777777" w:rsidR="00B4352F" w:rsidRPr="00FA0C6B" w:rsidRDefault="00B4352F" w:rsidP="00FA0C6B">
      <w:pPr>
        <w:ind w:left="720" w:hanging="720"/>
        <w:jc w:val="both"/>
        <w:rPr>
          <w:rFonts w:ascii="Calibri" w:hAnsi="Calibri" w:cs="Calibri"/>
          <w:color w:val="212529"/>
          <w:sz w:val="22"/>
          <w:szCs w:val="22"/>
          <w:shd w:val="clear" w:color="auto" w:fill="F9F9F9"/>
        </w:rPr>
      </w:pPr>
      <w:r w:rsidRPr="00FA0C6B">
        <w:rPr>
          <w:rFonts w:ascii="Calibri" w:hAnsi="Calibri" w:cs="Calibri"/>
          <w:color w:val="212529"/>
          <w:sz w:val="22"/>
          <w:szCs w:val="22"/>
          <w:shd w:val="clear" w:color="auto" w:fill="F9F9F9"/>
        </w:rPr>
        <w:t xml:space="preserve">Swarbrooke, J., Beard, C., Leckie, S. &amp; Pomfret, G. (2003). Adventure tourism: The new frontier. Oxford: </w:t>
      </w:r>
      <w:r w:rsidRPr="00FA0C6B">
        <w:rPr>
          <w:rFonts w:ascii="Calibri" w:hAnsi="Calibri" w:cs="Calibri"/>
          <w:i/>
          <w:iCs/>
          <w:color w:val="212529"/>
          <w:sz w:val="22"/>
          <w:szCs w:val="22"/>
          <w:shd w:val="clear" w:color="auto" w:fill="F9F9F9"/>
        </w:rPr>
        <w:t>Butterworth-Heinemann</w:t>
      </w:r>
      <w:r w:rsidRPr="00FA0C6B">
        <w:rPr>
          <w:rFonts w:ascii="Calibri" w:hAnsi="Calibri" w:cs="Calibri"/>
          <w:color w:val="212529"/>
          <w:sz w:val="22"/>
          <w:szCs w:val="22"/>
          <w:shd w:val="clear" w:color="auto" w:fill="F9F9F9"/>
        </w:rPr>
        <w:t>.</w:t>
      </w:r>
    </w:p>
    <w:p w14:paraId="7E8AA0A6" w14:textId="77777777" w:rsidR="00B4352F" w:rsidRPr="00FA0C6B" w:rsidRDefault="00B4352F" w:rsidP="00FA0C6B">
      <w:pPr>
        <w:ind w:left="720" w:hanging="720"/>
        <w:jc w:val="both"/>
        <w:rPr>
          <w:rFonts w:ascii="Calibri" w:hAnsi="Calibri" w:cs="Calibri"/>
          <w:color w:val="212529"/>
          <w:sz w:val="22"/>
          <w:szCs w:val="22"/>
          <w:shd w:val="clear" w:color="auto" w:fill="F9F9F9"/>
        </w:rPr>
      </w:pPr>
      <w:r w:rsidRPr="00FA0C6B">
        <w:rPr>
          <w:rFonts w:ascii="Calibri" w:hAnsi="Calibri" w:cs="Calibri"/>
          <w:color w:val="212529"/>
          <w:sz w:val="22"/>
          <w:szCs w:val="22"/>
          <w:shd w:val="clear" w:color="auto" w:fill="F9F9F9"/>
        </w:rPr>
        <w:t xml:space="preserve">The Europe Assistance Ipsos Survey. (2019). Holiday barometer among Europeans, North Americans, Asians and Oceanians: Ipsos/Europ Assistance survey [online]. </w:t>
      </w:r>
      <w:r w:rsidRPr="00FA0C6B">
        <w:rPr>
          <w:rFonts w:ascii="Calibri" w:hAnsi="Calibri" w:cs="Calibri"/>
          <w:i/>
          <w:iCs/>
          <w:color w:val="212529"/>
          <w:sz w:val="22"/>
          <w:szCs w:val="22"/>
          <w:shd w:val="clear" w:color="auto" w:fill="F9F9F9"/>
        </w:rPr>
        <w:t>Ipsos</w:t>
      </w:r>
      <w:r w:rsidRPr="00FA0C6B">
        <w:rPr>
          <w:rFonts w:ascii="Calibri" w:hAnsi="Calibri" w:cs="Calibri"/>
          <w:color w:val="212529"/>
          <w:sz w:val="22"/>
          <w:szCs w:val="22"/>
          <w:shd w:val="clear" w:color="auto" w:fill="F9F9F9"/>
        </w:rPr>
        <w:t xml:space="preserve">. Available at: </w:t>
      </w:r>
      <w:hyperlink r:id="rId11" w:history="1">
        <w:r w:rsidRPr="00FA0C6B">
          <w:rPr>
            <w:rStyle w:val="Hyperlink"/>
            <w:rFonts w:ascii="Calibri" w:hAnsi="Calibri" w:cs="Calibri"/>
            <w:sz w:val="22"/>
            <w:szCs w:val="22"/>
            <w:shd w:val="clear" w:color="auto" w:fill="F9F9F9"/>
          </w:rPr>
          <w:t>https://www.ipsos.com/sites/default/files/ct/news/documents/2023-06/Europ%20Assistance%20-%20Holiday%20Barometer%202023%20-%20Full%20report.pdf</w:t>
        </w:r>
      </w:hyperlink>
      <w:r w:rsidRPr="00FA0C6B">
        <w:rPr>
          <w:rFonts w:ascii="Calibri" w:hAnsi="Calibri" w:cs="Calibri"/>
          <w:color w:val="212529"/>
          <w:sz w:val="22"/>
          <w:szCs w:val="22"/>
          <w:shd w:val="clear" w:color="auto" w:fill="F9F9F9"/>
        </w:rPr>
        <w:t xml:space="preserve"> [Last accessed 13/01/24].</w:t>
      </w:r>
    </w:p>
    <w:p w14:paraId="27420EBF" w14:textId="77777777" w:rsidR="00B4352F" w:rsidRPr="00FA0C6B" w:rsidRDefault="00B4352F" w:rsidP="00FA0C6B">
      <w:pPr>
        <w:ind w:left="720" w:hanging="720"/>
        <w:jc w:val="both"/>
        <w:rPr>
          <w:rFonts w:ascii="Calibri" w:hAnsi="Calibri" w:cs="Calibri"/>
          <w:color w:val="212529"/>
          <w:sz w:val="22"/>
          <w:szCs w:val="22"/>
          <w:shd w:val="clear" w:color="auto" w:fill="F9F9F9"/>
        </w:rPr>
      </w:pPr>
      <w:r w:rsidRPr="00FA0C6B">
        <w:rPr>
          <w:rFonts w:ascii="Calibri" w:hAnsi="Calibri" w:cs="Calibri"/>
          <w:color w:val="212529"/>
          <w:sz w:val="22"/>
          <w:szCs w:val="22"/>
          <w:shd w:val="clear" w:color="auto" w:fill="F9F9F9"/>
        </w:rPr>
        <w:t xml:space="preserve">Welsh Government. (2017). Cymraeg 2050: A million Welsh speakers [online]. </w:t>
      </w:r>
      <w:r w:rsidRPr="00FA0C6B">
        <w:rPr>
          <w:rFonts w:ascii="Calibri" w:hAnsi="Calibri" w:cs="Calibri"/>
          <w:i/>
          <w:iCs/>
          <w:color w:val="212529"/>
          <w:sz w:val="22"/>
          <w:szCs w:val="22"/>
          <w:shd w:val="clear" w:color="auto" w:fill="F9F9F9"/>
        </w:rPr>
        <w:t>Welsh Government</w:t>
      </w:r>
      <w:r w:rsidRPr="00FA0C6B">
        <w:rPr>
          <w:rFonts w:ascii="Calibri" w:hAnsi="Calibri" w:cs="Calibri"/>
          <w:color w:val="212529"/>
          <w:sz w:val="22"/>
          <w:szCs w:val="22"/>
          <w:shd w:val="clear" w:color="auto" w:fill="F9F9F9"/>
        </w:rPr>
        <w:t xml:space="preserve">. Available at: </w:t>
      </w:r>
      <w:hyperlink r:id="rId12" w:history="1">
        <w:r w:rsidRPr="00FA0C6B">
          <w:rPr>
            <w:rStyle w:val="Hyperlink"/>
            <w:rFonts w:ascii="Calibri" w:hAnsi="Calibri" w:cs="Calibri"/>
            <w:sz w:val="22"/>
            <w:szCs w:val="22"/>
            <w:shd w:val="clear" w:color="auto" w:fill="F9F9F9"/>
          </w:rPr>
          <w:t>https://www.gov.wales/sites/default/files/publications/2018-12/cymraeg-2050-welsh-language-strategy.pdf</w:t>
        </w:r>
      </w:hyperlink>
      <w:r w:rsidRPr="00FA0C6B">
        <w:rPr>
          <w:rFonts w:ascii="Calibri" w:hAnsi="Calibri" w:cs="Calibri"/>
          <w:color w:val="212529"/>
          <w:sz w:val="22"/>
          <w:szCs w:val="22"/>
          <w:shd w:val="clear" w:color="auto" w:fill="F9F9F9"/>
        </w:rPr>
        <w:t xml:space="preserve"> [Last accessed 13/01/24]. </w:t>
      </w:r>
    </w:p>
    <w:p w14:paraId="2C3C7467" w14:textId="77777777" w:rsidR="00B4352F" w:rsidRPr="00FA0C6B" w:rsidRDefault="00B4352F" w:rsidP="00FA0C6B">
      <w:pPr>
        <w:ind w:left="720" w:hanging="720"/>
        <w:jc w:val="both"/>
        <w:rPr>
          <w:rFonts w:ascii="Calibri" w:hAnsi="Calibri" w:cs="Calibri"/>
          <w:color w:val="212529"/>
          <w:sz w:val="22"/>
          <w:szCs w:val="22"/>
          <w:shd w:val="clear" w:color="auto" w:fill="F9F9F9"/>
        </w:rPr>
      </w:pPr>
      <w:r w:rsidRPr="00FA0C6B">
        <w:rPr>
          <w:rFonts w:ascii="Calibri" w:hAnsi="Calibri" w:cs="Calibri"/>
          <w:color w:val="212529"/>
          <w:sz w:val="22"/>
          <w:szCs w:val="22"/>
          <w:shd w:val="clear" w:color="auto" w:fill="F9F9F9"/>
        </w:rPr>
        <w:t xml:space="preserve">Welsh Governance Centre. (2023). Labour market update for Wales [online]. </w:t>
      </w:r>
      <w:r w:rsidRPr="00FA0C6B">
        <w:rPr>
          <w:rFonts w:ascii="Calibri" w:hAnsi="Calibri" w:cs="Calibri"/>
          <w:i/>
          <w:iCs/>
          <w:color w:val="212529"/>
          <w:sz w:val="22"/>
          <w:szCs w:val="22"/>
          <w:shd w:val="clear" w:color="auto" w:fill="F9F9F9"/>
        </w:rPr>
        <w:t>Dadansoddi Cyllid Cymru</w:t>
      </w:r>
      <w:r w:rsidRPr="00FA0C6B">
        <w:rPr>
          <w:rFonts w:ascii="Calibri" w:hAnsi="Calibri" w:cs="Calibri"/>
          <w:color w:val="212529"/>
          <w:sz w:val="22"/>
          <w:szCs w:val="22"/>
          <w:shd w:val="clear" w:color="auto" w:fill="F9F9F9"/>
        </w:rPr>
        <w:t xml:space="preserve">. Available at: </w:t>
      </w:r>
      <w:hyperlink r:id="rId13" w:history="1">
        <w:r w:rsidRPr="00FA0C6B">
          <w:rPr>
            <w:rStyle w:val="Hyperlink"/>
            <w:rFonts w:ascii="Calibri" w:hAnsi="Calibri" w:cs="Calibri"/>
            <w:sz w:val="22"/>
            <w:szCs w:val="22"/>
            <w:shd w:val="clear" w:color="auto" w:fill="F9F9F9"/>
          </w:rPr>
          <w:t>https://www.cardiff.ac.uk/__data/assets/pdf_file/0007/2779882/20230920_Labour-Market_27oct.pdf</w:t>
        </w:r>
      </w:hyperlink>
      <w:r w:rsidRPr="00FA0C6B">
        <w:rPr>
          <w:rFonts w:ascii="Calibri" w:hAnsi="Calibri" w:cs="Calibri"/>
          <w:color w:val="212529"/>
          <w:sz w:val="22"/>
          <w:szCs w:val="22"/>
          <w:shd w:val="clear" w:color="auto" w:fill="F9F9F9"/>
        </w:rPr>
        <w:t xml:space="preserve"> [Last accessed 13/01/24]. </w:t>
      </w:r>
    </w:p>
    <w:p w14:paraId="3AFE4822" w14:textId="54F3B05A" w:rsidR="00B22CA6" w:rsidRPr="0071276A" w:rsidRDefault="00B4352F" w:rsidP="0071276A">
      <w:pPr>
        <w:ind w:left="720" w:hanging="720"/>
        <w:jc w:val="both"/>
        <w:rPr>
          <w:rFonts w:ascii="Calibri" w:hAnsi="Calibri" w:cs="Calibri"/>
          <w:color w:val="212529"/>
          <w:sz w:val="22"/>
          <w:szCs w:val="22"/>
          <w:shd w:val="clear" w:color="auto" w:fill="F9F9F9"/>
        </w:rPr>
      </w:pPr>
      <w:r w:rsidRPr="00FA0C6B">
        <w:rPr>
          <w:rFonts w:ascii="Calibri" w:hAnsi="Calibri" w:cs="Calibri"/>
          <w:color w:val="212529"/>
          <w:sz w:val="22"/>
          <w:szCs w:val="22"/>
          <w:shd w:val="clear" w:color="auto" w:fill="F9F9F9"/>
        </w:rPr>
        <w:t xml:space="preserve">White, S. &amp; Smith, M. (2014). The economic impact of outdoor activity tourism in Wales. </w:t>
      </w:r>
      <w:r w:rsidRPr="00FA0C6B">
        <w:rPr>
          <w:rFonts w:ascii="Calibri" w:hAnsi="Calibri" w:cs="Calibri"/>
          <w:i/>
          <w:iCs/>
          <w:color w:val="212529"/>
          <w:sz w:val="22"/>
          <w:szCs w:val="22"/>
          <w:shd w:val="clear" w:color="auto" w:fill="F9F9F9"/>
        </w:rPr>
        <w:t>Miller Research Evaluation Consulting</w:t>
      </w:r>
      <w:r w:rsidRPr="00FA0C6B">
        <w:rPr>
          <w:rFonts w:ascii="Calibri" w:hAnsi="Calibri" w:cs="Calibri"/>
          <w:color w:val="212529"/>
          <w:sz w:val="22"/>
          <w:szCs w:val="22"/>
          <w:shd w:val="clear" w:color="auto" w:fill="F9F9F9"/>
        </w:rPr>
        <w:t>.</w:t>
      </w:r>
    </w:p>
    <w:sectPr w:rsidR="00B22CA6" w:rsidRPr="007127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752DD3"/>
    <w:multiLevelType w:val="multilevel"/>
    <w:tmpl w:val="5DF61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81405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943"/>
    <w:rsid w:val="00026ABD"/>
    <w:rsid w:val="000408FB"/>
    <w:rsid w:val="00080551"/>
    <w:rsid w:val="000A2A40"/>
    <w:rsid w:val="000B586F"/>
    <w:rsid w:val="000E0A30"/>
    <w:rsid w:val="001050BC"/>
    <w:rsid w:val="001066D4"/>
    <w:rsid w:val="00126951"/>
    <w:rsid w:val="00147551"/>
    <w:rsid w:val="001C03AE"/>
    <w:rsid w:val="001C5315"/>
    <w:rsid w:val="001D7629"/>
    <w:rsid w:val="00226D97"/>
    <w:rsid w:val="00230003"/>
    <w:rsid w:val="0023228B"/>
    <w:rsid w:val="00270D87"/>
    <w:rsid w:val="002C59DF"/>
    <w:rsid w:val="003026B3"/>
    <w:rsid w:val="00310BBB"/>
    <w:rsid w:val="00324DA7"/>
    <w:rsid w:val="00360C79"/>
    <w:rsid w:val="003A69B1"/>
    <w:rsid w:val="003D1B06"/>
    <w:rsid w:val="003D218B"/>
    <w:rsid w:val="00411210"/>
    <w:rsid w:val="004163E1"/>
    <w:rsid w:val="00434A2C"/>
    <w:rsid w:val="00443A40"/>
    <w:rsid w:val="00466EA8"/>
    <w:rsid w:val="00491885"/>
    <w:rsid w:val="004C6814"/>
    <w:rsid w:val="004F6812"/>
    <w:rsid w:val="00512E71"/>
    <w:rsid w:val="00533070"/>
    <w:rsid w:val="005516C7"/>
    <w:rsid w:val="005760DD"/>
    <w:rsid w:val="005A524F"/>
    <w:rsid w:val="005A6D5F"/>
    <w:rsid w:val="005B0C31"/>
    <w:rsid w:val="005D55B4"/>
    <w:rsid w:val="005E3D85"/>
    <w:rsid w:val="0060389F"/>
    <w:rsid w:val="00617C6B"/>
    <w:rsid w:val="00623B93"/>
    <w:rsid w:val="0064130C"/>
    <w:rsid w:val="006420DB"/>
    <w:rsid w:val="00647998"/>
    <w:rsid w:val="006873B3"/>
    <w:rsid w:val="00687419"/>
    <w:rsid w:val="006A57B5"/>
    <w:rsid w:val="006B0943"/>
    <w:rsid w:val="006D017B"/>
    <w:rsid w:val="006D055E"/>
    <w:rsid w:val="006E3114"/>
    <w:rsid w:val="006F419C"/>
    <w:rsid w:val="0071276A"/>
    <w:rsid w:val="00783379"/>
    <w:rsid w:val="007845DB"/>
    <w:rsid w:val="0079656D"/>
    <w:rsid w:val="00797648"/>
    <w:rsid w:val="007A45CE"/>
    <w:rsid w:val="007A55F3"/>
    <w:rsid w:val="007A70C4"/>
    <w:rsid w:val="007A774E"/>
    <w:rsid w:val="0080563A"/>
    <w:rsid w:val="00805B3F"/>
    <w:rsid w:val="00836084"/>
    <w:rsid w:val="00847222"/>
    <w:rsid w:val="00853B84"/>
    <w:rsid w:val="0085567B"/>
    <w:rsid w:val="00864E10"/>
    <w:rsid w:val="00881698"/>
    <w:rsid w:val="00886101"/>
    <w:rsid w:val="008945EE"/>
    <w:rsid w:val="008B145F"/>
    <w:rsid w:val="008B4219"/>
    <w:rsid w:val="008E0567"/>
    <w:rsid w:val="008F27F4"/>
    <w:rsid w:val="009029D1"/>
    <w:rsid w:val="009449D6"/>
    <w:rsid w:val="00947E1E"/>
    <w:rsid w:val="00956A87"/>
    <w:rsid w:val="0098360B"/>
    <w:rsid w:val="009843B9"/>
    <w:rsid w:val="009923B5"/>
    <w:rsid w:val="009A5AD6"/>
    <w:rsid w:val="009F2D73"/>
    <w:rsid w:val="00A2533A"/>
    <w:rsid w:val="00A513B8"/>
    <w:rsid w:val="00A5607F"/>
    <w:rsid w:val="00A95427"/>
    <w:rsid w:val="00AB52B8"/>
    <w:rsid w:val="00AB6212"/>
    <w:rsid w:val="00AE4A93"/>
    <w:rsid w:val="00B10BE1"/>
    <w:rsid w:val="00B115D8"/>
    <w:rsid w:val="00B140AC"/>
    <w:rsid w:val="00B16473"/>
    <w:rsid w:val="00B22CA6"/>
    <w:rsid w:val="00B4352F"/>
    <w:rsid w:val="00B460C1"/>
    <w:rsid w:val="00B73490"/>
    <w:rsid w:val="00B96D0A"/>
    <w:rsid w:val="00BB6296"/>
    <w:rsid w:val="00BC17D1"/>
    <w:rsid w:val="00BE3D93"/>
    <w:rsid w:val="00C04472"/>
    <w:rsid w:val="00C4690C"/>
    <w:rsid w:val="00C47A8C"/>
    <w:rsid w:val="00C90806"/>
    <w:rsid w:val="00CC4331"/>
    <w:rsid w:val="00CC536E"/>
    <w:rsid w:val="00CF5124"/>
    <w:rsid w:val="00CF6AE3"/>
    <w:rsid w:val="00D13D64"/>
    <w:rsid w:val="00D21C07"/>
    <w:rsid w:val="00D373A3"/>
    <w:rsid w:val="00D427EC"/>
    <w:rsid w:val="00D76548"/>
    <w:rsid w:val="00D81B71"/>
    <w:rsid w:val="00D937AB"/>
    <w:rsid w:val="00DA559B"/>
    <w:rsid w:val="00DB12F4"/>
    <w:rsid w:val="00E80456"/>
    <w:rsid w:val="00E810E4"/>
    <w:rsid w:val="00EB1843"/>
    <w:rsid w:val="00EC1F0F"/>
    <w:rsid w:val="00EC4383"/>
    <w:rsid w:val="00F15541"/>
    <w:rsid w:val="00F1591B"/>
    <w:rsid w:val="00F2113A"/>
    <w:rsid w:val="00F241BB"/>
    <w:rsid w:val="00F2737E"/>
    <w:rsid w:val="00F6712C"/>
    <w:rsid w:val="00F678B7"/>
    <w:rsid w:val="00F71D1E"/>
    <w:rsid w:val="00F72748"/>
    <w:rsid w:val="00FA0C6B"/>
    <w:rsid w:val="00FC4AD9"/>
    <w:rsid w:val="00FC72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B9DD4"/>
  <w15:chartTrackingRefBased/>
  <w15:docId w15:val="{7E88CA9C-9F91-4E56-B6EF-06A8BDEEA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5F3"/>
    <w:pPr>
      <w:spacing w:after="0" w:line="240" w:lineRule="auto"/>
    </w:pPr>
    <w:rPr>
      <w:rFonts w:ascii="Times New Roman" w:eastAsia="Times New Roman" w:hAnsi="Times New Roman" w:cs="Times New Roman"/>
      <w:kern w:val="0"/>
      <w:sz w:val="24"/>
      <w:szCs w:val="24"/>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411210"/>
    <w:pPr>
      <w:spacing w:before="100" w:beforeAutospacing="1" w:after="100" w:afterAutospacing="1"/>
    </w:pPr>
    <w:rPr>
      <w:rFonts w:eastAsiaTheme="minorHAnsi"/>
    </w:rPr>
  </w:style>
  <w:style w:type="character" w:customStyle="1" w:styleId="normaltextrun">
    <w:name w:val="normaltextrun"/>
    <w:basedOn w:val="DefaultParagraphFont"/>
    <w:rsid w:val="00411210"/>
  </w:style>
  <w:style w:type="character" w:customStyle="1" w:styleId="eop">
    <w:name w:val="eop"/>
    <w:basedOn w:val="DefaultParagraphFont"/>
    <w:rsid w:val="00411210"/>
  </w:style>
  <w:style w:type="character" w:styleId="Hyperlink">
    <w:name w:val="Hyperlink"/>
    <w:basedOn w:val="DefaultParagraphFont"/>
    <w:uiPriority w:val="99"/>
    <w:unhideWhenUsed/>
    <w:rsid w:val="00411210"/>
    <w:rPr>
      <w:color w:val="0563C1" w:themeColor="hyperlink"/>
      <w:u w:val="single"/>
    </w:rPr>
  </w:style>
  <w:style w:type="character" w:customStyle="1" w:styleId="apple-converted-space">
    <w:name w:val="apple-converted-space"/>
    <w:basedOn w:val="DefaultParagraphFont"/>
    <w:rsid w:val="00411210"/>
  </w:style>
  <w:style w:type="paragraph" w:styleId="HTMLPreformatted">
    <w:name w:val="HTML Preformatted"/>
    <w:basedOn w:val="Normal"/>
    <w:link w:val="HTMLPreformattedChar"/>
    <w:uiPriority w:val="99"/>
    <w:unhideWhenUsed/>
    <w:rsid w:val="00232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cy-GB"/>
    </w:rPr>
  </w:style>
  <w:style w:type="character" w:customStyle="1" w:styleId="HTMLPreformattedChar">
    <w:name w:val="HTML Preformatted Char"/>
    <w:basedOn w:val="DefaultParagraphFont"/>
    <w:link w:val="HTMLPreformatted"/>
    <w:uiPriority w:val="99"/>
    <w:rsid w:val="0023228B"/>
    <w:rPr>
      <w:rFonts w:ascii="Courier New" w:eastAsia="Times New Roman" w:hAnsi="Courier New" w:cs="Courier New"/>
      <w:kern w:val="0"/>
      <w:sz w:val="20"/>
      <w:szCs w:val="20"/>
      <w:lang w:val="cy-GB" w:eastAsia="en-GB"/>
      <w14:ligatures w14:val="none"/>
    </w:rPr>
  </w:style>
  <w:style w:type="character" w:styleId="UnresolvedMention">
    <w:name w:val="Unresolved Mention"/>
    <w:basedOn w:val="DefaultParagraphFont"/>
    <w:uiPriority w:val="99"/>
    <w:semiHidden/>
    <w:unhideWhenUsed/>
    <w:rsid w:val="00BE3D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0515999">
      <w:bodyDiv w:val="1"/>
      <w:marLeft w:val="0"/>
      <w:marRight w:val="0"/>
      <w:marTop w:val="0"/>
      <w:marBottom w:val="0"/>
      <w:divBdr>
        <w:top w:val="none" w:sz="0" w:space="0" w:color="auto"/>
        <w:left w:val="none" w:sz="0" w:space="0" w:color="auto"/>
        <w:bottom w:val="none" w:sz="0" w:space="0" w:color="auto"/>
        <w:right w:val="none" w:sz="0" w:space="0" w:color="auto"/>
      </w:divBdr>
      <w:divsChild>
        <w:div w:id="841892300">
          <w:marLeft w:val="0"/>
          <w:marRight w:val="0"/>
          <w:marTop w:val="0"/>
          <w:marBottom w:val="0"/>
          <w:divBdr>
            <w:top w:val="none" w:sz="0" w:space="0" w:color="auto"/>
            <w:left w:val="none" w:sz="0" w:space="0" w:color="auto"/>
            <w:bottom w:val="none" w:sz="0" w:space="0" w:color="auto"/>
            <w:right w:val="none" w:sz="0" w:space="0" w:color="auto"/>
          </w:divBdr>
        </w:div>
        <w:div w:id="940449649">
          <w:marLeft w:val="0"/>
          <w:marRight w:val="0"/>
          <w:marTop w:val="0"/>
          <w:marBottom w:val="0"/>
          <w:divBdr>
            <w:top w:val="none" w:sz="0" w:space="0" w:color="auto"/>
            <w:left w:val="none" w:sz="0" w:space="0" w:color="auto"/>
            <w:bottom w:val="none" w:sz="0" w:space="0" w:color="auto"/>
            <w:right w:val="none" w:sz="0" w:space="0" w:color="auto"/>
          </w:divBdr>
        </w:div>
        <w:div w:id="1282372165">
          <w:marLeft w:val="0"/>
          <w:marRight w:val="0"/>
          <w:marTop w:val="0"/>
          <w:marBottom w:val="0"/>
          <w:divBdr>
            <w:top w:val="none" w:sz="0" w:space="0" w:color="auto"/>
            <w:left w:val="none" w:sz="0" w:space="0" w:color="auto"/>
            <w:bottom w:val="none" w:sz="0" w:space="0" w:color="auto"/>
            <w:right w:val="none" w:sz="0" w:space="0" w:color="auto"/>
          </w:divBdr>
        </w:div>
        <w:div w:id="1308317782">
          <w:marLeft w:val="0"/>
          <w:marRight w:val="0"/>
          <w:marTop w:val="0"/>
          <w:marBottom w:val="0"/>
          <w:divBdr>
            <w:top w:val="none" w:sz="0" w:space="0" w:color="auto"/>
            <w:left w:val="none" w:sz="0" w:space="0" w:color="auto"/>
            <w:bottom w:val="none" w:sz="0" w:space="0" w:color="auto"/>
            <w:right w:val="none" w:sz="0" w:space="0" w:color="auto"/>
          </w:divBdr>
        </w:div>
        <w:div w:id="195601562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turegenerations.wales/wp-content/uploads/2017/02/150623-guide-to-the-fg-act-en.pdf" TargetMode="External"/><Relationship Id="rId13" Type="http://schemas.openxmlformats.org/officeDocument/2006/relationships/hyperlink" Target="https://www.cardiff.ac.uk/__data/assets/pdf_file/0007/2779882/20230920_Labour-Market_27oct.pdf" TargetMode="External"/><Relationship Id="rId3" Type="http://schemas.openxmlformats.org/officeDocument/2006/relationships/styles" Target="styles.xml"/><Relationship Id="rId7" Type="http://schemas.openxmlformats.org/officeDocument/2006/relationships/hyperlink" Target="https://www.gov.wales/welsh-language-population-characteristics-census-2021-html" TargetMode="External"/><Relationship Id="rId12" Type="http://schemas.openxmlformats.org/officeDocument/2006/relationships/hyperlink" Target="https://www.gov.wales/sites/default/files/publications/2018-12/cymraeg-2050-welsh-language-strategy.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t20172207@outlook.cardiffmet.ac.uk" TargetMode="External"/><Relationship Id="rId11" Type="http://schemas.openxmlformats.org/officeDocument/2006/relationships/hyperlink" Target="https://www.ipsos.com/sites/default/files/ct/news/documents/2023-06/Europ%20Assistance%20-%20Holiday%20Barometer%202023%20-%20Full%20report.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port.wales/research-and-insight/school-sport-survey/everyone/" TargetMode="External"/><Relationship Id="rId4" Type="http://schemas.openxmlformats.org/officeDocument/2006/relationships/settings" Target="settings.xml"/><Relationship Id="rId9" Type="http://schemas.openxmlformats.org/officeDocument/2006/relationships/hyperlink" Target="https://www.gov.wales/wellbeing-wales-2023-wales-vibrant-culture-and-thriving-welsh-languag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A8B2400-2748-C94E-894D-ACA0D66F6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1855</Words>
  <Characters>10580</Characters>
  <Application>Microsoft Office Word</Application>
  <DocSecurity>4</DocSecurity>
  <Lines>88</Lines>
  <Paragraphs>24</Paragraphs>
  <ScaleCrop>false</ScaleCrop>
  <Company>Cardiff Metropolitan University</Company>
  <LinksUpToDate>false</LinksUpToDate>
  <CharactersWithSpaces>12411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Leger, Lana</dc:creator>
  <cp:keywords/>
  <dc:description/>
  <cp:lastModifiedBy>Bear, Olivia</cp:lastModifiedBy>
  <cp:revision>64</cp:revision>
  <dcterms:created xsi:type="dcterms:W3CDTF">2024-01-16T05:13:00Z</dcterms:created>
  <dcterms:modified xsi:type="dcterms:W3CDTF">2024-01-19T00:43:00Z</dcterms:modified>
</cp:coreProperties>
</file>