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C29D3" w14:textId="03B8314E" w:rsidR="00C77A6B" w:rsidRPr="000B278C" w:rsidRDefault="00C77A6B" w:rsidP="002F32CC">
      <w:pPr>
        <w:jc w:val="center"/>
        <w:rPr>
          <w:rFonts w:cstheme="minorHAnsi"/>
          <w:b/>
          <w:bCs/>
        </w:rPr>
      </w:pPr>
      <w:r w:rsidRPr="000B278C">
        <w:rPr>
          <w:rFonts w:cstheme="minorHAnsi"/>
          <w:b/>
          <w:bCs/>
        </w:rPr>
        <w:t xml:space="preserve">A Critical Examination of the </w:t>
      </w:r>
      <w:r w:rsidR="006D2CC6">
        <w:rPr>
          <w:rFonts w:cstheme="minorHAnsi"/>
          <w:b/>
          <w:bCs/>
        </w:rPr>
        <w:t xml:space="preserve">Influence </w:t>
      </w:r>
      <w:r w:rsidRPr="000B278C">
        <w:rPr>
          <w:rFonts w:cstheme="minorHAnsi"/>
          <w:b/>
          <w:bCs/>
        </w:rPr>
        <w:t xml:space="preserve">of Organisation Factors on the Career Journey of Female Professors in the UK </w:t>
      </w:r>
      <w:r w:rsidR="004F0D77">
        <w:rPr>
          <w:rFonts w:cstheme="minorHAnsi"/>
          <w:b/>
          <w:bCs/>
        </w:rPr>
        <w:t>Higher Education</w:t>
      </w:r>
    </w:p>
    <w:p w14:paraId="3F679C52" w14:textId="77777777" w:rsidR="00C77A6B" w:rsidRPr="00792104" w:rsidRDefault="00C77A6B" w:rsidP="002F32CC">
      <w:pPr>
        <w:jc w:val="both"/>
        <w:rPr>
          <w:rFonts w:cstheme="minorHAnsi"/>
        </w:rPr>
      </w:pPr>
    </w:p>
    <w:p w14:paraId="23321FFF" w14:textId="250AEDE3" w:rsidR="003D400F" w:rsidRPr="00792104" w:rsidRDefault="00953DC3" w:rsidP="002F32CC">
      <w:pPr>
        <w:jc w:val="both"/>
        <w:rPr>
          <w:rFonts w:cstheme="minorHAnsi"/>
        </w:rPr>
      </w:pPr>
      <w:r w:rsidRPr="00792104">
        <w:rPr>
          <w:rFonts w:cstheme="minorHAnsi"/>
        </w:rPr>
        <w:t xml:space="preserve"> Shahira Shahir</w:t>
      </w:r>
      <w:r w:rsidR="00517A47" w:rsidRPr="00792104">
        <w:rPr>
          <w:rFonts w:cstheme="minorHAnsi"/>
        </w:rPr>
        <w:t xml:space="preserve"> </w:t>
      </w:r>
    </w:p>
    <w:p w14:paraId="01612FB7" w14:textId="2E30DA44" w:rsidR="00953DC3" w:rsidRPr="00792104" w:rsidRDefault="00517A47" w:rsidP="002F32CC">
      <w:pPr>
        <w:jc w:val="both"/>
        <w:rPr>
          <w:rFonts w:cstheme="minorHAnsi"/>
        </w:rPr>
      </w:pPr>
      <w:proofErr w:type="spellStart"/>
      <w:r w:rsidRPr="00792104">
        <w:rPr>
          <w:rFonts w:cstheme="minorHAnsi"/>
        </w:rPr>
        <w:t>DMan</w:t>
      </w:r>
      <w:proofErr w:type="spellEnd"/>
      <w:r w:rsidRPr="00792104">
        <w:rPr>
          <w:rFonts w:cstheme="minorHAnsi"/>
        </w:rPr>
        <w:t xml:space="preserve"> student of Cardiff Met University</w:t>
      </w:r>
    </w:p>
    <w:p w14:paraId="52E21CAB" w14:textId="40B71CC8" w:rsidR="003D400F" w:rsidRPr="00792104" w:rsidRDefault="00000000" w:rsidP="003D400F">
      <w:pPr>
        <w:spacing w:line="480" w:lineRule="auto"/>
        <w:jc w:val="both"/>
        <w:rPr>
          <w:rFonts w:cstheme="minorHAnsi"/>
        </w:rPr>
      </w:pPr>
      <w:hyperlink r:id="rId5" w:history="1">
        <w:r w:rsidR="00A209B4" w:rsidRPr="00792104">
          <w:rPr>
            <w:rStyle w:val="Hyperlink"/>
            <w:rFonts w:cstheme="minorHAnsi"/>
          </w:rPr>
          <w:t>Sshahir@cardiffmet.ac.uk</w:t>
        </w:r>
      </w:hyperlink>
    </w:p>
    <w:p w14:paraId="50A4291A" w14:textId="77777777" w:rsidR="00A209B4" w:rsidRPr="00792104" w:rsidRDefault="00A209B4" w:rsidP="003D400F">
      <w:pPr>
        <w:spacing w:line="480" w:lineRule="auto"/>
        <w:jc w:val="both"/>
        <w:rPr>
          <w:rFonts w:cstheme="minorHAnsi"/>
        </w:rPr>
      </w:pPr>
    </w:p>
    <w:p w14:paraId="5C76B439" w14:textId="33FF7CFA" w:rsidR="00A209B4" w:rsidRPr="00792104" w:rsidRDefault="00A209B4" w:rsidP="003D400F">
      <w:pPr>
        <w:spacing w:line="480" w:lineRule="auto"/>
        <w:jc w:val="both"/>
        <w:rPr>
          <w:rFonts w:cstheme="minorHAnsi"/>
        </w:rPr>
      </w:pPr>
      <w:r w:rsidRPr="000B278C">
        <w:rPr>
          <w:rFonts w:cstheme="minorHAnsi"/>
          <w:b/>
          <w:bCs/>
        </w:rPr>
        <w:t>Keywords:</w:t>
      </w:r>
      <w:r w:rsidRPr="00792104">
        <w:rPr>
          <w:rFonts w:cstheme="minorHAnsi"/>
        </w:rPr>
        <w:t xml:space="preserve"> Organisation</w:t>
      </w:r>
      <w:r w:rsidR="00DF4C45" w:rsidRPr="00792104">
        <w:rPr>
          <w:rFonts w:cstheme="minorHAnsi"/>
        </w:rPr>
        <w:t xml:space="preserve"> </w:t>
      </w:r>
      <w:r w:rsidR="00D210C4" w:rsidRPr="00792104">
        <w:rPr>
          <w:rFonts w:cstheme="minorHAnsi"/>
        </w:rPr>
        <w:t xml:space="preserve">factors, Career Journey, </w:t>
      </w:r>
      <w:r w:rsidR="00DF4C45" w:rsidRPr="00792104">
        <w:rPr>
          <w:rFonts w:cstheme="minorHAnsi"/>
        </w:rPr>
        <w:t>Female Professors</w:t>
      </w:r>
      <w:r w:rsidR="00D57E47" w:rsidRPr="00792104">
        <w:rPr>
          <w:rFonts w:cstheme="minorHAnsi"/>
        </w:rPr>
        <w:t xml:space="preserve"> </w:t>
      </w:r>
    </w:p>
    <w:p w14:paraId="5615A6A8" w14:textId="3149202A" w:rsidR="00C77A6B" w:rsidRPr="000B278C" w:rsidRDefault="00D57E47" w:rsidP="002F32CC">
      <w:pPr>
        <w:jc w:val="both"/>
        <w:rPr>
          <w:rFonts w:cstheme="minorHAnsi"/>
          <w:b/>
          <w:bCs/>
        </w:rPr>
      </w:pPr>
      <w:r w:rsidRPr="000B278C">
        <w:rPr>
          <w:rFonts w:cstheme="minorHAnsi"/>
          <w:b/>
          <w:bCs/>
        </w:rPr>
        <w:t>Introduction</w:t>
      </w:r>
    </w:p>
    <w:p w14:paraId="680E7E43" w14:textId="77777777" w:rsidR="004916A1" w:rsidRPr="00792104" w:rsidRDefault="00E03F84" w:rsidP="0028357A">
      <w:pPr>
        <w:jc w:val="both"/>
        <w:rPr>
          <w:rFonts w:cstheme="minorHAnsi"/>
          <w:color w:val="000000"/>
        </w:rPr>
      </w:pPr>
      <w:r w:rsidRPr="00792104">
        <w:rPr>
          <w:rFonts w:cstheme="minorHAnsi"/>
          <w:color w:val="000000"/>
        </w:rPr>
        <w:t xml:space="preserve">The 2022 World Bank report reveals a global disparity in the labour force participation rates between men and women, with women comprising just over 50% compared to 80% of men. This global trend is further exemplified in the United Kingdom, where, according to the same report, the labour force participation rate among females stands at 58.5%, while among males, it is higher at 66.3%. These statistics underscore the persistent gender gap in workforce participation, both on a global scale and within specific national contexts such as the United Kingdom. </w:t>
      </w:r>
    </w:p>
    <w:p w14:paraId="35DC3330" w14:textId="22A1788A" w:rsidR="0028357A" w:rsidRPr="00792104" w:rsidRDefault="004916A1" w:rsidP="0028357A">
      <w:pPr>
        <w:jc w:val="both"/>
        <w:rPr>
          <w:rFonts w:cstheme="minorHAnsi"/>
        </w:rPr>
      </w:pPr>
      <w:r w:rsidRPr="00792104">
        <w:rPr>
          <w:rFonts w:cstheme="minorHAnsi"/>
        </w:rPr>
        <w:t>In terms of</w:t>
      </w:r>
      <w:r w:rsidR="0028357A" w:rsidRPr="00792104">
        <w:rPr>
          <w:rFonts w:cstheme="minorHAnsi"/>
        </w:rPr>
        <w:t xml:space="preserve"> </w:t>
      </w:r>
      <w:r w:rsidRPr="00792104">
        <w:rPr>
          <w:rFonts w:cstheme="minorHAnsi"/>
        </w:rPr>
        <w:t xml:space="preserve">the </w:t>
      </w:r>
      <w:r w:rsidR="0028357A" w:rsidRPr="00792104">
        <w:rPr>
          <w:rFonts w:cstheme="minorHAnsi"/>
        </w:rPr>
        <w:t>UK's higher education (HE) sector</w:t>
      </w:r>
      <w:r w:rsidRPr="00792104">
        <w:rPr>
          <w:rFonts w:cstheme="minorHAnsi"/>
        </w:rPr>
        <w:t>,</w:t>
      </w:r>
      <w:r w:rsidR="0028357A" w:rsidRPr="00792104">
        <w:rPr>
          <w:rFonts w:cstheme="minorHAnsi"/>
        </w:rPr>
        <w:t xml:space="preserve"> serves as a notable example, boasting an impressive workforce </w:t>
      </w:r>
      <w:r w:rsidR="00AE1DD5" w:rsidRPr="00792104">
        <w:rPr>
          <w:rFonts w:cstheme="minorHAnsi"/>
        </w:rPr>
        <w:t xml:space="preserve">according to universities UK </w:t>
      </w:r>
      <w:r w:rsidR="00C249CC" w:rsidRPr="00792104">
        <w:rPr>
          <w:rFonts w:cstheme="minorHAnsi"/>
        </w:rPr>
        <w:t xml:space="preserve">During the academic year 2021–22, UK </w:t>
      </w:r>
      <w:r w:rsidR="002E4D7A">
        <w:rPr>
          <w:rFonts w:cstheme="minorHAnsi"/>
        </w:rPr>
        <w:t xml:space="preserve">HE </w:t>
      </w:r>
      <w:r w:rsidR="00C249CC" w:rsidRPr="00792104">
        <w:rPr>
          <w:rFonts w:cstheme="minorHAnsi"/>
        </w:rPr>
        <w:t>institutions employed a total of 233,930 staff, excluding atypical staff.</w:t>
      </w:r>
    </w:p>
    <w:p w14:paraId="682EA314" w14:textId="3844F318" w:rsidR="000B19B8" w:rsidRPr="00792104" w:rsidRDefault="0028357A" w:rsidP="007142D4">
      <w:pPr>
        <w:jc w:val="both"/>
        <w:rPr>
          <w:rFonts w:cstheme="minorHAnsi"/>
        </w:rPr>
      </w:pPr>
      <w:r w:rsidRPr="00792104">
        <w:rPr>
          <w:rFonts w:cstheme="minorHAnsi"/>
        </w:rPr>
        <w:t xml:space="preserve">However, a closer examination of the composition of top-tier academic roles reveals a concerning gender gap. HESA (2022) data indicates that within the UK </w:t>
      </w:r>
      <w:r w:rsidR="008A155C">
        <w:rPr>
          <w:rFonts w:cstheme="minorHAnsi"/>
        </w:rPr>
        <w:t>HE</w:t>
      </w:r>
      <w:r w:rsidRPr="00792104">
        <w:rPr>
          <w:rFonts w:cstheme="minorHAnsi"/>
        </w:rPr>
        <w:t xml:space="preserve"> system, less than 30 per cent of professors are female. Specifically, out of 23,495 professors, only 6,980 are women. This significant numerical disparity emphasises women's persistent challenges in ascending to leadership positions within academia.</w:t>
      </w:r>
    </w:p>
    <w:p w14:paraId="64B85006" w14:textId="262AFD60" w:rsidR="00150F98" w:rsidRPr="00792104" w:rsidRDefault="00150F98" w:rsidP="000B19B8">
      <w:pPr>
        <w:jc w:val="both"/>
        <w:rPr>
          <w:rFonts w:cstheme="minorHAnsi"/>
        </w:rPr>
      </w:pPr>
      <w:r w:rsidRPr="00792104">
        <w:rPr>
          <w:rFonts w:cstheme="minorHAnsi"/>
        </w:rPr>
        <w:t>The legislative landscape addressing gender equality has evolved, with notable milestones such as the Equal Pay Act of 1970, the Sex Discrimination Act of 1975, and the Equality Act of 2010. These laws were designed to dismantle systemic barriers and discriminatory practices that hindered women's progress in the workplace. Additionally, initiatives like Athena Swan, introduced in 2005, aimed to address gender inequality specifically in academia, recognising and rewarding institutions that championed diversity and gender inclusivity (Westoby, et al., 2021).</w:t>
      </w:r>
    </w:p>
    <w:p w14:paraId="52CE906B" w14:textId="7540C764" w:rsidR="00150F98" w:rsidRPr="00792104" w:rsidRDefault="00150F98" w:rsidP="002F32CC">
      <w:pPr>
        <w:jc w:val="both"/>
        <w:rPr>
          <w:rFonts w:cstheme="minorHAnsi"/>
        </w:rPr>
      </w:pPr>
      <w:r w:rsidRPr="00792104">
        <w:rPr>
          <w:rFonts w:cstheme="minorHAnsi"/>
        </w:rPr>
        <w:t xml:space="preserve">Despite these efforts, gender inequality remains pervasive, as highlighted by Westoby et al. (2021) and Bhopal (2020). The persistence of this problem suggests that while legislative frameworks and initiatives have played a crucial role in advancing gender equality, there are still deep-rooted </w:t>
      </w:r>
      <w:r w:rsidR="00C133D7" w:rsidRPr="00792104">
        <w:rPr>
          <w:rFonts w:cstheme="minorHAnsi"/>
        </w:rPr>
        <w:t>organisational c</w:t>
      </w:r>
      <w:r w:rsidRPr="00792104">
        <w:rPr>
          <w:rFonts w:cstheme="minorHAnsi"/>
        </w:rPr>
        <w:t>hallenges that need to be addressed.</w:t>
      </w:r>
    </w:p>
    <w:p w14:paraId="062DD243" w14:textId="29702429" w:rsidR="00C35508" w:rsidRPr="00792104" w:rsidRDefault="00C35508" w:rsidP="00C35508">
      <w:pPr>
        <w:jc w:val="both"/>
        <w:rPr>
          <w:rFonts w:cstheme="minorHAnsi"/>
        </w:rPr>
      </w:pPr>
      <w:r w:rsidRPr="00792104">
        <w:rPr>
          <w:rFonts w:cstheme="minorHAnsi"/>
        </w:rPr>
        <w:t xml:space="preserve">Therefore, this research aims to critically examine the influence of organisation factors on the career journey of female professors in the UK HE based on Acker’s gendered organisation theory. </w:t>
      </w:r>
    </w:p>
    <w:p w14:paraId="57C8C671" w14:textId="71A27C26" w:rsidR="00EF2A47" w:rsidRDefault="00EF2A47" w:rsidP="002F32CC">
      <w:pPr>
        <w:jc w:val="both"/>
        <w:rPr>
          <w:rFonts w:cstheme="minorHAnsi"/>
        </w:rPr>
      </w:pPr>
    </w:p>
    <w:p w14:paraId="0FCB0BF0" w14:textId="77777777" w:rsidR="00376E53" w:rsidRPr="00792104" w:rsidRDefault="00376E53" w:rsidP="002F32CC">
      <w:pPr>
        <w:jc w:val="both"/>
        <w:rPr>
          <w:rFonts w:cstheme="minorHAnsi"/>
        </w:rPr>
      </w:pPr>
    </w:p>
    <w:p w14:paraId="6840D19C" w14:textId="16AEA96A" w:rsidR="00CD6A98" w:rsidRPr="00376E53" w:rsidRDefault="00E4613A" w:rsidP="002F32CC">
      <w:pPr>
        <w:jc w:val="both"/>
        <w:rPr>
          <w:rFonts w:cstheme="minorHAnsi"/>
          <w:b/>
          <w:bCs/>
        </w:rPr>
      </w:pPr>
      <w:r w:rsidRPr="00376E53">
        <w:rPr>
          <w:rFonts w:cstheme="minorHAnsi"/>
          <w:b/>
          <w:bCs/>
        </w:rPr>
        <w:lastRenderedPageBreak/>
        <w:t xml:space="preserve">Context and </w:t>
      </w:r>
      <w:r w:rsidR="00E81656" w:rsidRPr="00376E53">
        <w:rPr>
          <w:rFonts w:cstheme="minorHAnsi"/>
          <w:b/>
          <w:bCs/>
        </w:rPr>
        <w:t>Background</w:t>
      </w:r>
    </w:p>
    <w:p w14:paraId="00F647DA" w14:textId="4AEAB0A6" w:rsidR="00A06401" w:rsidRPr="00792104" w:rsidRDefault="00150F98" w:rsidP="00E419E0">
      <w:pPr>
        <w:jc w:val="both"/>
        <w:rPr>
          <w:rFonts w:cstheme="minorHAnsi"/>
        </w:rPr>
      </w:pPr>
      <w:r w:rsidRPr="00792104">
        <w:rPr>
          <w:rFonts w:cstheme="minorHAnsi"/>
        </w:rPr>
        <w:t xml:space="preserve">Factors such as unconscious biases, stereotyping, and gender-based expectations continue to shape workplace dynamics. Moreover, women often face barriers to career progression, unequal pay, and a lack of representation in </w:t>
      </w:r>
      <w:r w:rsidR="00341071" w:rsidRPr="00792104">
        <w:rPr>
          <w:rFonts w:cstheme="minorHAnsi"/>
        </w:rPr>
        <w:t>their wor</w:t>
      </w:r>
      <w:r w:rsidR="004141E6" w:rsidRPr="00792104">
        <w:rPr>
          <w:rFonts w:cstheme="minorHAnsi"/>
        </w:rPr>
        <w:t>kplace</w:t>
      </w:r>
      <w:r w:rsidR="00965E7F" w:rsidRPr="00792104">
        <w:rPr>
          <w:rFonts w:cstheme="minorHAnsi"/>
        </w:rPr>
        <w:t xml:space="preserve"> </w:t>
      </w:r>
      <w:r w:rsidR="005274A3" w:rsidRPr="00792104">
        <w:rPr>
          <w:rFonts w:cstheme="minorHAnsi"/>
        </w:rPr>
        <w:t xml:space="preserve">(Savigny, 2014; </w:t>
      </w:r>
      <w:r w:rsidR="00B93787" w:rsidRPr="00792104">
        <w:rPr>
          <w:rFonts w:cstheme="minorHAnsi"/>
        </w:rPr>
        <w:t>Burkinshaw et al., 2018</w:t>
      </w:r>
      <w:r w:rsidR="00F32956" w:rsidRPr="00792104">
        <w:rPr>
          <w:rFonts w:cstheme="minorHAnsi"/>
        </w:rPr>
        <w:t xml:space="preserve">; </w:t>
      </w:r>
      <w:r w:rsidR="0070339F" w:rsidRPr="00792104">
        <w:rPr>
          <w:rFonts w:cstheme="minorHAnsi"/>
          <w:color w:val="222222"/>
          <w:shd w:val="clear" w:color="auto" w:fill="FFFFFF"/>
        </w:rPr>
        <w:t>Westoby</w:t>
      </w:r>
      <w:r w:rsidR="00447974" w:rsidRPr="00792104">
        <w:rPr>
          <w:rFonts w:cstheme="minorHAnsi"/>
        </w:rPr>
        <w:t xml:space="preserve"> et al., 2021</w:t>
      </w:r>
      <w:r w:rsidR="002202FC" w:rsidRPr="00792104">
        <w:rPr>
          <w:rFonts w:cstheme="minorHAnsi"/>
        </w:rPr>
        <w:t>)</w:t>
      </w:r>
      <w:r w:rsidRPr="00792104">
        <w:rPr>
          <w:rFonts w:cstheme="minorHAnsi"/>
        </w:rPr>
        <w:t>.</w:t>
      </w:r>
      <w:r w:rsidR="00A06401" w:rsidRPr="00792104">
        <w:rPr>
          <w:rFonts w:cstheme="minorHAnsi"/>
        </w:rPr>
        <w:t xml:space="preserve"> For instance, according to the CIPD 2023 report, 19% of professional HR managers are not willing to hire female staff </w:t>
      </w:r>
      <w:r w:rsidR="002D5A71" w:rsidRPr="00792104">
        <w:rPr>
          <w:rFonts w:cstheme="minorHAnsi"/>
        </w:rPr>
        <w:t xml:space="preserve">as they </w:t>
      </w:r>
      <w:r w:rsidR="0021179A" w:rsidRPr="00792104">
        <w:rPr>
          <w:rFonts w:cstheme="minorHAnsi"/>
        </w:rPr>
        <w:t>believe</w:t>
      </w:r>
      <w:r w:rsidR="002D5A71" w:rsidRPr="00792104">
        <w:rPr>
          <w:rFonts w:cstheme="minorHAnsi"/>
        </w:rPr>
        <w:t xml:space="preserve"> </w:t>
      </w:r>
      <w:r w:rsidR="009E32E3" w:rsidRPr="00792104">
        <w:rPr>
          <w:rFonts w:cstheme="minorHAnsi"/>
        </w:rPr>
        <w:t xml:space="preserve">women will start </w:t>
      </w:r>
      <w:r w:rsidR="001E28F2" w:rsidRPr="00792104">
        <w:rPr>
          <w:rFonts w:cstheme="minorHAnsi"/>
        </w:rPr>
        <w:t xml:space="preserve">a </w:t>
      </w:r>
      <w:r w:rsidR="009E32E3" w:rsidRPr="00792104">
        <w:rPr>
          <w:rFonts w:cstheme="minorHAnsi"/>
        </w:rPr>
        <w:t xml:space="preserve">family </w:t>
      </w:r>
      <w:r w:rsidR="001E28F2" w:rsidRPr="00792104">
        <w:rPr>
          <w:rFonts w:cstheme="minorHAnsi"/>
        </w:rPr>
        <w:t>in the future</w:t>
      </w:r>
      <w:r w:rsidR="0011412B" w:rsidRPr="00792104">
        <w:rPr>
          <w:rFonts w:cstheme="minorHAnsi"/>
        </w:rPr>
        <w:t>.</w:t>
      </w:r>
      <w:r w:rsidR="001E28F2" w:rsidRPr="00792104">
        <w:rPr>
          <w:rFonts w:cstheme="minorHAnsi"/>
        </w:rPr>
        <w:t xml:space="preserve"> </w:t>
      </w:r>
      <w:r w:rsidR="0011412B" w:rsidRPr="00792104">
        <w:rPr>
          <w:rFonts w:cstheme="minorHAnsi"/>
        </w:rPr>
        <w:t xml:space="preserve">On the other hand, </w:t>
      </w:r>
      <w:r w:rsidR="00A06401" w:rsidRPr="00792104">
        <w:rPr>
          <w:rFonts w:cstheme="minorHAnsi"/>
        </w:rPr>
        <w:t>50% of female staff reported they had discrimination and 42% had sexism experience in the workplace</w:t>
      </w:r>
      <w:r w:rsidR="008940E9" w:rsidRPr="00792104">
        <w:rPr>
          <w:rFonts w:cstheme="minorHAnsi"/>
        </w:rPr>
        <w:t xml:space="preserve"> (</w:t>
      </w:r>
      <w:r w:rsidR="00336354" w:rsidRPr="00792104">
        <w:rPr>
          <w:rFonts w:cstheme="minorHAnsi"/>
        </w:rPr>
        <w:t>Jackson, 2023)</w:t>
      </w:r>
      <w:r w:rsidR="00A06401" w:rsidRPr="00792104">
        <w:rPr>
          <w:rFonts w:cstheme="minorHAnsi"/>
        </w:rPr>
        <w:t xml:space="preserve">. </w:t>
      </w:r>
      <w:r w:rsidR="00D4773D" w:rsidRPr="00792104">
        <w:rPr>
          <w:rFonts w:cstheme="minorHAnsi"/>
        </w:rPr>
        <w:t xml:space="preserve">Therefore, it seems that </w:t>
      </w:r>
      <w:r w:rsidR="001220BE" w:rsidRPr="00792104">
        <w:rPr>
          <w:rFonts w:cstheme="minorHAnsi"/>
        </w:rPr>
        <w:t>discrimination</w:t>
      </w:r>
      <w:r w:rsidR="00522FFF" w:rsidRPr="00792104">
        <w:rPr>
          <w:rFonts w:cstheme="minorHAnsi"/>
        </w:rPr>
        <w:t xml:space="preserve">, gender </w:t>
      </w:r>
      <w:r w:rsidR="001220BE" w:rsidRPr="00792104">
        <w:rPr>
          <w:rFonts w:cstheme="minorHAnsi"/>
        </w:rPr>
        <w:t>bias</w:t>
      </w:r>
      <w:r w:rsidR="00522FFF" w:rsidRPr="00792104">
        <w:rPr>
          <w:rFonts w:cstheme="minorHAnsi"/>
        </w:rPr>
        <w:t xml:space="preserve"> and sexism still exist </w:t>
      </w:r>
      <w:r w:rsidR="001220BE" w:rsidRPr="00792104">
        <w:rPr>
          <w:rFonts w:cstheme="minorHAnsi"/>
        </w:rPr>
        <w:t>in</w:t>
      </w:r>
      <w:r w:rsidR="00FC3B43" w:rsidRPr="00792104">
        <w:rPr>
          <w:rFonts w:cstheme="minorHAnsi"/>
        </w:rPr>
        <w:t xml:space="preserve"> the workplace</w:t>
      </w:r>
      <w:r w:rsidR="00E419E0" w:rsidRPr="00792104">
        <w:rPr>
          <w:rFonts w:cstheme="minorHAnsi"/>
        </w:rPr>
        <w:t xml:space="preserve"> at all. </w:t>
      </w:r>
    </w:p>
    <w:p w14:paraId="166E4692" w14:textId="03DB4675" w:rsidR="00A06401" w:rsidRPr="00792104" w:rsidRDefault="00A06401" w:rsidP="0028357A">
      <w:pPr>
        <w:jc w:val="both"/>
        <w:rPr>
          <w:rFonts w:cstheme="minorHAnsi"/>
        </w:rPr>
      </w:pPr>
      <w:r w:rsidRPr="00792104">
        <w:rPr>
          <w:rFonts w:cstheme="minorHAnsi"/>
        </w:rPr>
        <w:t xml:space="preserve">The underrepresentation of women in top positions within </w:t>
      </w:r>
      <w:r w:rsidR="00DB2174">
        <w:rPr>
          <w:rFonts w:cstheme="minorHAnsi"/>
        </w:rPr>
        <w:t xml:space="preserve">the </w:t>
      </w:r>
      <w:r w:rsidR="00CF7AC2">
        <w:rPr>
          <w:rFonts w:cstheme="minorHAnsi"/>
        </w:rPr>
        <w:t xml:space="preserve">HE </w:t>
      </w:r>
      <w:r w:rsidRPr="00792104">
        <w:rPr>
          <w:rFonts w:cstheme="minorHAnsi"/>
        </w:rPr>
        <w:t xml:space="preserve">cation is a stark manifestation of broader gender disparities in developed nations, despite women occupying various crucial roles across societies and the official commitment to achieving gender equality by these governments (Harvey &amp; Jones, 2022; Evans Maley, 2021). </w:t>
      </w:r>
    </w:p>
    <w:p w14:paraId="204F9BD1" w14:textId="18CE2DED" w:rsidR="00C133D7" w:rsidRDefault="00C133D7" w:rsidP="002F32CC">
      <w:pPr>
        <w:jc w:val="both"/>
        <w:rPr>
          <w:rFonts w:cstheme="minorHAnsi"/>
        </w:rPr>
      </w:pPr>
      <w:r w:rsidRPr="00792104">
        <w:rPr>
          <w:rFonts w:cstheme="minorHAnsi"/>
        </w:rPr>
        <w:t xml:space="preserve">An overview of UK HE </w:t>
      </w:r>
      <w:r w:rsidR="00B86DD1" w:rsidRPr="00792104">
        <w:rPr>
          <w:rFonts w:cstheme="minorHAnsi"/>
        </w:rPr>
        <w:t>gender</w:t>
      </w:r>
      <w:r w:rsidRPr="00792104">
        <w:rPr>
          <w:rFonts w:cstheme="minorHAnsi"/>
        </w:rPr>
        <w:t xml:space="preserve"> statistics based on </w:t>
      </w:r>
      <w:proofErr w:type="spellStart"/>
      <w:r w:rsidRPr="00792104">
        <w:rPr>
          <w:rFonts w:cstheme="minorHAnsi"/>
        </w:rPr>
        <w:t>Meletiadou</w:t>
      </w:r>
      <w:proofErr w:type="spellEnd"/>
      <w:r w:rsidRPr="00792104">
        <w:rPr>
          <w:rFonts w:cstheme="minorHAnsi"/>
        </w:rPr>
        <w:t xml:space="preserve">, (2022) at the CIPD conference shows that a mere 22% of women within the academic staff, constituting 45% of the total academic staff in </w:t>
      </w:r>
      <w:r w:rsidR="00DB2174">
        <w:rPr>
          <w:rFonts w:cstheme="minorHAnsi"/>
        </w:rPr>
        <w:t>HE</w:t>
      </w:r>
      <w:r w:rsidRPr="00792104">
        <w:rPr>
          <w:rFonts w:cstheme="minorHAnsi"/>
        </w:rPr>
        <w:t xml:space="preserve"> Institutions (HEIs), ascend to senior leadership positions, despite the majority of </w:t>
      </w:r>
      <w:r w:rsidR="00DB2174">
        <w:rPr>
          <w:rFonts w:cstheme="minorHAnsi"/>
        </w:rPr>
        <w:t>HE</w:t>
      </w:r>
      <w:r w:rsidRPr="00792104">
        <w:rPr>
          <w:rFonts w:cstheme="minorHAnsi"/>
        </w:rPr>
        <w:t xml:space="preserve"> (HE) students (56%) and staff (54%) being women at present.</w:t>
      </w:r>
    </w:p>
    <w:p w14:paraId="449345BD" w14:textId="6469F2BD" w:rsidR="00B3426E" w:rsidRPr="00792104" w:rsidRDefault="00B3426E" w:rsidP="0066036E">
      <w:pPr>
        <w:jc w:val="both"/>
        <w:rPr>
          <w:rFonts w:cstheme="minorHAnsi"/>
        </w:rPr>
      </w:pPr>
      <w:r w:rsidRPr="00B3426E">
        <w:rPr>
          <w:rFonts w:cstheme="minorHAnsi"/>
        </w:rPr>
        <w:t xml:space="preserve">According to Acker’s theory organizations and jobs were not </w:t>
      </w:r>
      <w:r w:rsidR="00707DB1">
        <w:rPr>
          <w:rFonts w:cstheme="minorHAnsi"/>
        </w:rPr>
        <w:t>gender-neutral</w:t>
      </w:r>
      <w:r w:rsidRPr="00B3426E">
        <w:rPr>
          <w:rFonts w:cstheme="minorHAnsi"/>
        </w:rPr>
        <w:t xml:space="preserve"> but inherently gendered through five interacting gendering processes:  practices/structures,</w:t>
      </w:r>
      <w:r w:rsidR="0066036E">
        <w:rPr>
          <w:rFonts w:cstheme="minorHAnsi"/>
        </w:rPr>
        <w:t xml:space="preserve"> </w:t>
      </w:r>
      <w:r w:rsidRPr="00B3426E">
        <w:rPr>
          <w:rFonts w:cstheme="minorHAnsi"/>
        </w:rPr>
        <w:t>culture, interactions, identity,</w:t>
      </w:r>
      <w:r w:rsidR="0066036E">
        <w:rPr>
          <w:rFonts w:cstheme="minorHAnsi"/>
        </w:rPr>
        <w:t xml:space="preserve"> and </w:t>
      </w:r>
      <w:r w:rsidRPr="00B3426E">
        <w:rPr>
          <w:rFonts w:cstheme="minorHAnsi"/>
        </w:rPr>
        <w:t>organi</w:t>
      </w:r>
      <w:r w:rsidR="0066036E">
        <w:rPr>
          <w:rFonts w:cstheme="minorHAnsi"/>
        </w:rPr>
        <w:t>s</w:t>
      </w:r>
      <w:r w:rsidRPr="00B3426E">
        <w:rPr>
          <w:rFonts w:cstheme="minorHAnsi"/>
        </w:rPr>
        <w:t>ational logic (Bailyn &amp; Fletcher,2019).</w:t>
      </w:r>
    </w:p>
    <w:p w14:paraId="29651DFC" w14:textId="4CF7FCCD" w:rsidR="0082269C" w:rsidRPr="00792104" w:rsidRDefault="006B1966" w:rsidP="00D834E0">
      <w:pPr>
        <w:jc w:val="both"/>
        <w:rPr>
          <w:rFonts w:cstheme="minorHAnsi"/>
        </w:rPr>
      </w:pPr>
      <w:r w:rsidRPr="00792104">
        <w:rPr>
          <w:rFonts w:cstheme="minorHAnsi"/>
        </w:rPr>
        <w:t xml:space="preserve">In terms of </w:t>
      </w:r>
      <w:r w:rsidR="00192BCE" w:rsidRPr="00792104">
        <w:rPr>
          <w:rFonts w:cstheme="minorHAnsi"/>
        </w:rPr>
        <w:t xml:space="preserve">the </w:t>
      </w:r>
      <w:r w:rsidR="00F62971" w:rsidRPr="00792104">
        <w:rPr>
          <w:rFonts w:cstheme="minorHAnsi"/>
        </w:rPr>
        <w:t xml:space="preserve">theory framework of this research </w:t>
      </w:r>
      <w:r w:rsidR="008625E1" w:rsidRPr="00792104">
        <w:rPr>
          <w:rFonts w:cstheme="minorHAnsi"/>
        </w:rPr>
        <w:t xml:space="preserve">I am </w:t>
      </w:r>
      <w:r w:rsidR="00AB7EBD" w:rsidRPr="00792104">
        <w:rPr>
          <w:rFonts w:cstheme="minorHAnsi"/>
        </w:rPr>
        <w:t>applying Acker’s gendered organisation theory</w:t>
      </w:r>
      <w:r w:rsidR="008625E1" w:rsidRPr="00792104">
        <w:rPr>
          <w:rFonts w:cstheme="minorHAnsi"/>
        </w:rPr>
        <w:t xml:space="preserve">, </w:t>
      </w:r>
      <w:r w:rsidR="002B3931" w:rsidRPr="00792104">
        <w:rPr>
          <w:rFonts w:cstheme="minorHAnsi"/>
        </w:rPr>
        <w:t xml:space="preserve">research </w:t>
      </w:r>
      <w:r w:rsidR="00192BCE" w:rsidRPr="00792104">
        <w:rPr>
          <w:rFonts w:cstheme="minorHAnsi"/>
        </w:rPr>
        <w:t>shows</w:t>
      </w:r>
      <w:r w:rsidR="002B3931" w:rsidRPr="00792104">
        <w:rPr>
          <w:rFonts w:cstheme="minorHAnsi"/>
        </w:rPr>
        <w:t xml:space="preserve"> that</w:t>
      </w:r>
      <w:r w:rsidR="00D834E0" w:rsidRPr="00792104">
        <w:rPr>
          <w:rFonts w:cstheme="minorHAnsi"/>
        </w:rPr>
        <w:t xml:space="preserve"> t</w:t>
      </w:r>
      <w:r w:rsidR="0082269C" w:rsidRPr="00792104">
        <w:rPr>
          <w:rFonts w:cstheme="minorHAnsi"/>
        </w:rPr>
        <w:t xml:space="preserve">here are a few research that </w:t>
      </w:r>
      <w:r w:rsidR="00192BCE" w:rsidRPr="00792104">
        <w:rPr>
          <w:rFonts w:cstheme="minorHAnsi"/>
        </w:rPr>
        <w:t>uses</w:t>
      </w:r>
      <w:r w:rsidR="0082269C" w:rsidRPr="00792104">
        <w:rPr>
          <w:rFonts w:cstheme="minorHAnsi"/>
        </w:rPr>
        <w:t xml:space="preserve"> </w:t>
      </w:r>
      <w:r w:rsidR="00D834E0" w:rsidRPr="00792104">
        <w:rPr>
          <w:rFonts w:cstheme="minorHAnsi"/>
        </w:rPr>
        <w:t>all four</w:t>
      </w:r>
      <w:r w:rsidR="0082269C" w:rsidRPr="00792104">
        <w:rPr>
          <w:rFonts w:cstheme="minorHAnsi"/>
        </w:rPr>
        <w:t xml:space="preserve"> elements</w:t>
      </w:r>
      <w:r w:rsidR="00CF092A" w:rsidRPr="00792104">
        <w:rPr>
          <w:rFonts w:cstheme="minorHAnsi"/>
        </w:rPr>
        <w:t xml:space="preserve"> of </w:t>
      </w:r>
      <w:r w:rsidR="00192BCE" w:rsidRPr="00792104">
        <w:rPr>
          <w:rFonts w:cstheme="minorHAnsi"/>
        </w:rPr>
        <w:t xml:space="preserve">the </w:t>
      </w:r>
      <w:r w:rsidR="00CF092A" w:rsidRPr="00792104">
        <w:rPr>
          <w:rFonts w:cstheme="minorHAnsi"/>
        </w:rPr>
        <w:t>gendering process</w:t>
      </w:r>
      <w:r w:rsidR="0082269C" w:rsidRPr="00792104">
        <w:rPr>
          <w:rFonts w:cstheme="minorHAnsi"/>
        </w:rPr>
        <w:t xml:space="preserve"> of </w:t>
      </w:r>
      <w:r w:rsidR="001C4A95" w:rsidRPr="00792104">
        <w:rPr>
          <w:rFonts w:cstheme="minorHAnsi"/>
        </w:rPr>
        <w:t>Acker’s gendered organisation</w:t>
      </w:r>
      <w:r w:rsidR="0082269C" w:rsidRPr="00792104">
        <w:rPr>
          <w:rFonts w:cstheme="minorHAnsi"/>
        </w:rPr>
        <w:t xml:space="preserve"> theory </w:t>
      </w:r>
      <w:r w:rsidR="000F534A" w:rsidRPr="00792104">
        <w:rPr>
          <w:rFonts w:cstheme="minorHAnsi"/>
        </w:rPr>
        <w:t xml:space="preserve">in terms of academia </w:t>
      </w:r>
      <w:r w:rsidR="0082269C" w:rsidRPr="00792104">
        <w:rPr>
          <w:rFonts w:cstheme="minorHAnsi"/>
        </w:rPr>
        <w:t>(</w:t>
      </w:r>
      <w:proofErr w:type="spellStart"/>
      <w:r w:rsidR="0082269C" w:rsidRPr="00792104">
        <w:rPr>
          <w:rFonts w:cstheme="minorHAnsi"/>
        </w:rPr>
        <w:t>Benschop</w:t>
      </w:r>
      <w:proofErr w:type="spellEnd"/>
      <w:r w:rsidR="0082269C" w:rsidRPr="00792104">
        <w:rPr>
          <w:rFonts w:cstheme="minorHAnsi"/>
        </w:rPr>
        <w:t xml:space="preserve">, and van den Brink, 2019). Numerous individuals often </w:t>
      </w:r>
      <w:r w:rsidR="00B46497" w:rsidRPr="00792104">
        <w:rPr>
          <w:rFonts w:cstheme="minorHAnsi"/>
        </w:rPr>
        <w:t>choose</w:t>
      </w:r>
      <w:r w:rsidR="0082269C" w:rsidRPr="00792104">
        <w:rPr>
          <w:rFonts w:cstheme="minorHAnsi"/>
        </w:rPr>
        <w:t xml:space="preserve"> </w:t>
      </w:r>
      <w:r w:rsidR="00B23EED" w:rsidRPr="00792104">
        <w:rPr>
          <w:rFonts w:cstheme="minorHAnsi"/>
        </w:rPr>
        <w:t>one</w:t>
      </w:r>
      <w:r w:rsidR="0082269C" w:rsidRPr="00792104">
        <w:rPr>
          <w:rFonts w:cstheme="minorHAnsi"/>
        </w:rPr>
        <w:t xml:space="preserve"> component of </w:t>
      </w:r>
      <w:r w:rsidR="00B46497" w:rsidRPr="00792104">
        <w:rPr>
          <w:rFonts w:cstheme="minorHAnsi"/>
        </w:rPr>
        <w:t>Acker’s</w:t>
      </w:r>
      <w:r w:rsidR="0082269C" w:rsidRPr="00792104">
        <w:rPr>
          <w:rFonts w:cstheme="minorHAnsi"/>
        </w:rPr>
        <w:t xml:space="preserve"> framework to showcase its practicality or use Acker's work as a basis for shaping their comprehension of gender (Nkomo and Rodriguez, 2019). </w:t>
      </w:r>
    </w:p>
    <w:p w14:paraId="6C3DD7D6" w14:textId="7B350924" w:rsidR="00541D67" w:rsidRPr="00792104" w:rsidRDefault="003A6BA1" w:rsidP="00E14576">
      <w:pPr>
        <w:jc w:val="both"/>
        <w:rPr>
          <w:rFonts w:cstheme="minorHAnsi"/>
        </w:rPr>
      </w:pPr>
      <w:r w:rsidRPr="00792104">
        <w:rPr>
          <w:rFonts w:cstheme="minorHAnsi"/>
        </w:rPr>
        <w:t xml:space="preserve">In this research, I am attempting to reveal organizational factors that influence the career journey of female professors by studying the culture and structure of universities in relation to the identities and interactions of academic members in two universities. Therefore, I will be applying four components of </w:t>
      </w:r>
      <w:r w:rsidR="00C2787C" w:rsidRPr="00792104">
        <w:rPr>
          <w:rFonts w:cstheme="minorHAnsi"/>
        </w:rPr>
        <w:t>Acker’s gendered organisation</w:t>
      </w:r>
      <w:r w:rsidRPr="00792104">
        <w:rPr>
          <w:rFonts w:cstheme="minorHAnsi"/>
        </w:rPr>
        <w:t xml:space="preserve"> theory</w:t>
      </w:r>
      <w:r w:rsidR="00BA2635" w:rsidRPr="00792104">
        <w:rPr>
          <w:rFonts w:cstheme="minorHAnsi"/>
        </w:rPr>
        <w:t xml:space="preserve"> (1990)</w:t>
      </w:r>
      <w:r w:rsidRPr="00792104">
        <w:rPr>
          <w:rFonts w:cstheme="minorHAnsi"/>
        </w:rPr>
        <w:t>: culture, structure/practice, identity, and interaction.</w:t>
      </w:r>
      <w:r w:rsidR="00E14576" w:rsidRPr="00792104">
        <w:rPr>
          <w:rFonts w:cstheme="minorHAnsi"/>
        </w:rPr>
        <w:t xml:space="preserve"> T</w:t>
      </w:r>
      <w:r w:rsidR="00541D67" w:rsidRPr="00792104">
        <w:rPr>
          <w:rFonts w:cstheme="minorHAnsi"/>
        </w:rPr>
        <w:t xml:space="preserve">he gendered </w:t>
      </w:r>
      <w:r w:rsidR="001D2719" w:rsidRPr="00792104">
        <w:rPr>
          <w:rFonts w:cstheme="minorHAnsi"/>
        </w:rPr>
        <w:t>organization's theory</w:t>
      </w:r>
      <w:r w:rsidR="00541D67" w:rsidRPr="00792104">
        <w:rPr>
          <w:rFonts w:cstheme="minorHAnsi"/>
        </w:rPr>
        <w:t xml:space="preserve"> helped to a better understanding of</w:t>
      </w:r>
      <w:r w:rsidR="002E4BDB" w:rsidRPr="00792104">
        <w:rPr>
          <w:rFonts w:cstheme="minorHAnsi"/>
        </w:rPr>
        <w:t xml:space="preserve"> </w:t>
      </w:r>
      <w:r w:rsidR="00A508DB" w:rsidRPr="00792104">
        <w:rPr>
          <w:rFonts w:cstheme="minorHAnsi"/>
        </w:rPr>
        <w:t xml:space="preserve">the </w:t>
      </w:r>
      <w:r w:rsidR="002E4BDB" w:rsidRPr="00792104">
        <w:rPr>
          <w:rFonts w:cstheme="minorHAnsi"/>
        </w:rPr>
        <w:t>ma</w:t>
      </w:r>
      <w:r w:rsidR="005E7EA1" w:rsidRPr="00792104">
        <w:rPr>
          <w:rFonts w:cstheme="minorHAnsi"/>
        </w:rPr>
        <w:t>nifesting</w:t>
      </w:r>
      <w:r w:rsidR="00A508DB" w:rsidRPr="00792104">
        <w:rPr>
          <w:rFonts w:cstheme="minorHAnsi"/>
        </w:rPr>
        <w:t xml:space="preserve"> of</w:t>
      </w:r>
      <w:r w:rsidR="00541D67" w:rsidRPr="00792104">
        <w:rPr>
          <w:rFonts w:cstheme="minorHAnsi"/>
        </w:rPr>
        <w:t xml:space="preserve"> gender inequalities in different organizational </w:t>
      </w:r>
      <w:r w:rsidR="005E7EA1" w:rsidRPr="00792104">
        <w:rPr>
          <w:rFonts w:cstheme="minorHAnsi"/>
        </w:rPr>
        <w:t xml:space="preserve">designs and </w:t>
      </w:r>
      <w:r w:rsidR="00541D67" w:rsidRPr="00792104">
        <w:rPr>
          <w:rFonts w:cstheme="minorHAnsi"/>
        </w:rPr>
        <w:t>configurations</w:t>
      </w:r>
      <w:r w:rsidR="00105FB3" w:rsidRPr="00792104">
        <w:rPr>
          <w:rFonts w:cstheme="minorHAnsi"/>
        </w:rPr>
        <w:t xml:space="preserve"> </w:t>
      </w:r>
      <w:r w:rsidR="00E51BD2" w:rsidRPr="00792104">
        <w:rPr>
          <w:rFonts w:cstheme="minorHAnsi"/>
        </w:rPr>
        <w:t>(</w:t>
      </w:r>
      <w:proofErr w:type="spellStart"/>
      <w:r w:rsidR="00E51BD2" w:rsidRPr="00792104">
        <w:rPr>
          <w:rFonts w:cstheme="minorHAnsi"/>
        </w:rPr>
        <w:t>Benschop</w:t>
      </w:r>
      <w:proofErr w:type="spellEnd"/>
      <w:r w:rsidR="00E51BD2" w:rsidRPr="00792104">
        <w:rPr>
          <w:rFonts w:cstheme="minorHAnsi"/>
        </w:rPr>
        <w:t>, and van den Brink, 2019)</w:t>
      </w:r>
      <w:r w:rsidR="005E7EA1" w:rsidRPr="00792104">
        <w:rPr>
          <w:rFonts w:cstheme="minorHAnsi"/>
        </w:rPr>
        <w:t xml:space="preserve">. </w:t>
      </w:r>
    </w:p>
    <w:p w14:paraId="6A7361A3" w14:textId="76608CD4" w:rsidR="00090529" w:rsidRPr="00376E53" w:rsidRDefault="003B4817" w:rsidP="00090529">
      <w:pPr>
        <w:jc w:val="both"/>
        <w:rPr>
          <w:rFonts w:cstheme="minorHAnsi"/>
          <w:b/>
          <w:bCs/>
        </w:rPr>
      </w:pPr>
      <w:r w:rsidRPr="00376E53">
        <w:rPr>
          <w:rFonts w:cstheme="minorHAnsi"/>
          <w:b/>
          <w:bCs/>
        </w:rPr>
        <w:t>Research Methodology</w:t>
      </w:r>
    </w:p>
    <w:p w14:paraId="28BE162C" w14:textId="31BE295C" w:rsidR="00EF3B0B" w:rsidRPr="00792104" w:rsidRDefault="00EF3B0B" w:rsidP="00376E53">
      <w:pPr>
        <w:jc w:val="both"/>
        <w:rPr>
          <w:rFonts w:cstheme="minorHAnsi"/>
        </w:rPr>
      </w:pPr>
      <w:r w:rsidRPr="00792104">
        <w:rPr>
          <w:rFonts w:cstheme="minorHAnsi"/>
        </w:rPr>
        <w:t xml:space="preserve">In this research, I </w:t>
      </w:r>
      <w:r w:rsidR="001C169A" w:rsidRPr="00792104">
        <w:rPr>
          <w:rFonts w:cstheme="minorHAnsi"/>
        </w:rPr>
        <w:t>utilise</w:t>
      </w:r>
      <w:r w:rsidRPr="00792104">
        <w:rPr>
          <w:rFonts w:cstheme="minorHAnsi"/>
        </w:rPr>
        <w:t xml:space="preserve"> the research methodology described by Saunders et al. (2023), which is grounded in their conceptual framework referred to as the "research onion."</w:t>
      </w:r>
    </w:p>
    <w:p w14:paraId="24128AD8" w14:textId="6835B2C9" w:rsidR="00090529" w:rsidRPr="00792104" w:rsidRDefault="00090529" w:rsidP="00376E53">
      <w:pPr>
        <w:jc w:val="both"/>
        <w:rPr>
          <w:rFonts w:cstheme="minorHAnsi"/>
        </w:rPr>
      </w:pPr>
      <w:r w:rsidRPr="00792104">
        <w:rPr>
          <w:rFonts w:cstheme="minorHAnsi"/>
        </w:rPr>
        <w:t>In this study, an interpretivism philosophy will be employed to develop new complex interpretations and conceptions of the social world settings</w:t>
      </w:r>
      <w:r w:rsidR="000D4ACB" w:rsidRPr="00792104">
        <w:rPr>
          <w:rFonts w:cstheme="minorHAnsi"/>
        </w:rPr>
        <w:t xml:space="preserve"> (Tamminen and Poucher, 2020)</w:t>
      </w:r>
      <w:r w:rsidRPr="00792104">
        <w:rPr>
          <w:rFonts w:cstheme="minorHAnsi"/>
        </w:rPr>
        <w:t>. The research approach adopted is inductive</w:t>
      </w:r>
      <w:r w:rsidR="00C12A04" w:rsidRPr="00792104">
        <w:rPr>
          <w:rFonts w:cstheme="minorHAnsi"/>
        </w:rPr>
        <w:t xml:space="preserve">, </w:t>
      </w:r>
      <w:r w:rsidRPr="00792104">
        <w:rPr>
          <w:rFonts w:cstheme="minorHAnsi"/>
        </w:rPr>
        <w:t>and the chosen research strategy is a case study</w:t>
      </w:r>
      <w:r w:rsidR="00C12A04" w:rsidRPr="00792104">
        <w:rPr>
          <w:rFonts w:cstheme="minorHAnsi"/>
        </w:rPr>
        <w:t xml:space="preserve"> </w:t>
      </w:r>
      <w:r w:rsidR="00C12A04" w:rsidRPr="00792104">
        <w:rPr>
          <w:rStyle w:val="normaltextrun"/>
          <w:rFonts w:eastAsiaTheme="majorEastAsia" w:cstheme="minorHAnsi"/>
          <w:lang w:eastAsia="en-GB"/>
        </w:rPr>
        <w:t>(Saunders et al., 2023)</w:t>
      </w:r>
      <w:r w:rsidRPr="00792104">
        <w:rPr>
          <w:rFonts w:cstheme="minorHAnsi"/>
        </w:rPr>
        <w:t xml:space="preserve">. Specifically, this research focuses on a case study involving two universities within the UK's </w:t>
      </w:r>
      <w:r w:rsidR="00DB2174">
        <w:rPr>
          <w:rFonts w:cstheme="minorHAnsi"/>
        </w:rPr>
        <w:t>HE</w:t>
      </w:r>
      <w:r w:rsidRPr="00792104">
        <w:rPr>
          <w:rFonts w:cstheme="minorHAnsi"/>
        </w:rPr>
        <w:t xml:space="preserve"> system: Cardiff Metropolitan University and Cardiff University. Despite both institutions being located in Cardiff, they vary in terms of size, staff and student numbers, research activities, and contributions to various fields.</w:t>
      </w:r>
    </w:p>
    <w:p w14:paraId="024CCF51" w14:textId="39E43CD8" w:rsidR="003B4817" w:rsidRPr="00792104" w:rsidRDefault="00090529" w:rsidP="00376E53">
      <w:pPr>
        <w:jc w:val="both"/>
        <w:rPr>
          <w:rFonts w:cstheme="minorHAnsi"/>
        </w:rPr>
      </w:pPr>
      <w:r w:rsidRPr="00792104">
        <w:rPr>
          <w:rFonts w:cstheme="minorHAnsi"/>
        </w:rPr>
        <w:lastRenderedPageBreak/>
        <w:t>The research methodology utilized is qualitative, employing the semi-structured interview method and documentary analysis (strategic plan)</w:t>
      </w:r>
      <w:r w:rsidR="00C07D9F" w:rsidRPr="00792104">
        <w:rPr>
          <w:rFonts w:cstheme="minorHAnsi"/>
        </w:rPr>
        <w:t xml:space="preserve">, </w:t>
      </w:r>
      <w:r w:rsidR="00FA4343" w:rsidRPr="00792104">
        <w:rPr>
          <w:rFonts w:cstheme="minorHAnsi"/>
        </w:rPr>
        <w:t xml:space="preserve">(Creswell and </w:t>
      </w:r>
      <w:proofErr w:type="spellStart"/>
      <w:r w:rsidR="00FA4343" w:rsidRPr="00792104">
        <w:rPr>
          <w:rFonts w:cstheme="minorHAnsi"/>
        </w:rPr>
        <w:t>Poth</w:t>
      </w:r>
      <w:proofErr w:type="spellEnd"/>
      <w:r w:rsidR="00FA4343" w:rsidRPr="00792104">
        <w:rPr>
          <w:rFonts w:cstheme="minorHAnsi"/>
        </w:rPr>
        <w:t>, 2016).</w:t>
      </w:r>
      <w:r w:rsidRPr="00792104">
        <w:rPr>
          <w:rFonts w:cstheme="minorHAnsi"/>
        </w:rPr>
        <w:t xml:space="preserve"> Purposive sampling will be employed to select participants, with an estimated sample size of 20. For data analysis, thematic analysis will be utilized</w:t>
      </w:r>
      <w:r w:rsidR="00160945" w:rsidRPr="00792104">
        <w:rPr>
          <w:rFonts w:cstheme="minorHAnsi"/>
        </w:rPr>
        <w:t xml:space="preserve"> </w:t>
      </w:r>
      <w:r w:rsidR="00160945" w:rsidRPr="00792104">
        <w:rPr>
          <w:rStyle w:val="normaltextrun"/>
          <w:rFonts w:eastAsia="Times New Roman" w:cstheme="minorHAnsi"/>
          <w:lang w:eastAsia="en-GB"/>
        </w:rPr>
        <w:t>(Saunders, et al., 201</w:t>
      </w:r>
      <w:r w:rsidR="00E633A7" w:rsidRPr="00792104">
        <w:rPr>
          <w:rStyle w:val="normaltextrun"/>
          <w:rFonts w:eastAsia="Times New Roman" w:cstheme="minorHAnsi"/>
          <w:lang w:eastAsia="en-GB"/>
        </w:rPr>
        <w:t>7</w:t>
      </w:r>
      <w:r w:rsidR="00160945" w:rsidRPr="00792104">
        <w:rPr>
          <w:rStyle w:val="normaltextrun"/>
          <w:rFonts w:eastAsia="Times New Roman" w:cstheme="minorHAnsi"/>
          <w:lang w:eastAsia="en-GB"/>
        </w:rPr>
        <w:t>)</w:t>
      </w:r>
      <w:r w:rsidRPr="00792104">
        <w:rPr>
          <w:rFonts w:cstheme="minorHAnsi"/>
        </w:rPr>
        <w:t>.</w:t>
      </w:r>
    </w:p>
    <w:p w14:paraId="55DD5155" w14:textId="3C44CAEF" w:rsidR="007C19B0" w:rsidRPr="00376E53" w:rsidRDefault="00E4613A" w:rsidP="00090529">
      <w:pPr>
        <w:jc w:val="both"/>
        <w:rPr>
          <w:rFonts w:cstheme="minorHAnsi"/>
          <w:b/>
          <w:bCs/>
        </w:rPr>
      </w:pPr>
      <w:r w:rsidRPr="00376E53">
        <w:rPr>
          <w:rFonts w:cstheme="minorHAnsi"/>
          <w:b/>
          <w:bCs/>
        </w:rPr>
        <w:t>Conclusion</w:t>
      </w:r>
    </w:p>
    <w:p w14:paraId="3144AF69" w14:textId="432B8344" w:rsidR="0045640D" w:rsidRPr="00792104" w:rsidRDefault="0045640D" w:rsidP="00376E53">
      <w:pPr>
        <w:jc w:val="both"/>
        <w:rPr>
          <w:rFonts w:cstheme="minorHAnsi"/>
        </w:rPr>
      </w:pPr>
      <w:r w:rsidRPr="00792104">
        <w:rPr>
          <w:rFonts w:cstheme="minorHAnsi"/>
        </w:rPr>
        <w:t xml:space="preserve">In </w:t>
      </w:r>
      <w:r w:rsidR="00E4613A" w:rsidRPr="00792104">
        <w:rPr>
          <w:rFonts w:cstheme="minorHAnsi"/>
        </w:rPr>
        <w:t>conclusion</w:t>
      </w:r>
      <w:r w:rsidRPr="00792104">
        <w:rPr>
          <w:rFonts w:cstheme="minorHAnsi"/>
        </w:rPr>
        <w:t xml:space="preserve">, a notable gap exists in the existing literature concerning the impact of </w:t>
      </w:r>
      <w:r w:rsidR="00EF4658" w:rsidRPr="00792104">
        <w:rPr>
          <w:rFonts w:cstheme="minorHAnsi"/>
        </w:rPr>
        <w:t>organisational</w:t>
      </w:r>
      <w:r w:rsidRPr="00792104">
        <w:rPr>
          <w:rFonts w:cstheme="minorHAnsi"/>
        </w:rPr>
        <w:t xml:space="preserve"> factors on the career trajectories of female professors. Within the context of the UK </w:t>
      </w:r>
      <w:r w:rsidR="00DB2174">
        <w:rPr>
          <w:rFonts w:cstheme="minorHAnsi"/>
        </w:rPr>
        <w:t>HE</w:t>
      </w:r>
      <w:r w:rsidRPr="00792104">
        <w:rPr>
          <w:rFonts w:cstheme="minorHAnsi"/>
        </w:rPr>
        <w:t xml:space="preserve"> sector, </w:t>
      </w:r>
      <w:r w:rsidR="00EF4658" w:rsidRPr="00792104">
        <w:rPr>
          <w:rFonts w:cstheme="minorHAnsi"/>
        </w:rPr>
        <w:t>organisational</w:t>
      </w:r>
      <w:r w:rsidRPr="00792104">
        <w:rPr>
          <w:rFonts w:cstheme="minorHAnsi"/>
        </w:rPr>
        <w:t xml:space="preserve"> factors play a significant role in shaping the professional journeys of female academics.</w:t>
      </w:r>
    </w:p>
    <w:p w14:paraId="28011B27" w14:textId="59B763DB" w:rsidR="0045640D" w:rsidRPr="00792104" w:rsidRDefault="0045640D" w:rsidP="00376E53">
      <w:pPr>
        <w:jc w:val="both"/>
        <w:rPr>
          <w:rFonts w:cstheme="minorHAnsi"/>
        </w:rPr>
      </w:pPr>
      <w:r w:rsidRPr="00792104">
        <w:rPr>
          <w:rFonts w:cstheme="minorHAnsi"/>
        </w:rPr>
        <w:t xml:space="preserve">This research holds particular relevance within the academic community, especially considering the limited representation of women at the professorial level in the UK </w:t>
      </w:r>
      <w:r w:rsidR="00DB2174">
        <w:rPr>
          <w:rFonts w:cstheme="minorHAnsi"/>
        </w:rPr>
        <w:t>HE</w:t>
      </w:r>
      <w:r w:rsidRPr="00792104">
        <w:rPr>
          <w:rFonts w:cstheme="minorHAnsi"/>
        </w:rPr>
        <w:t xml:space="preserve"> landscape. Through the execution of this study, there is an opportunity to contribute meaningfully to academic discourse and initiate a dialogue on the low presence of women in professorial roles.</w:t>
      </w:r>
    </w:p>
    <w:p w14:paraId="6FF14F57" w14:textId="5A8754A3" w:rsidR="0045640D" w:rsidRPr="00792104" w:rsidRDefault="0045640D" w:rsidP="00376E53">
      <w:pPr>
        <w:jc w:val="both"/>
        <w:rPr>
          <w:rFonts w:cstheme="minorHAnsi"/>
        </w:rPr>
      </w:pPr>
      <w:r w:rsidRPr="00792104">
        <w:rPr>
          <w:rFonts w:cstheme="minorHAnsi"/>
        </w:rPr>
        <w:t xml:space="preserve">By undertaking this research </w:t>
      </w:r>
      <w:r w:rsidR="00E81656" w:rsidRPr="00792104">
        <w:rPr>
          <w:rFonts w:cstheme="minorHAnsi"/>
        </w:rPr>
        <w:t>endeavour</w:t>
      </w:r>
      <w:r w:rsidRPr="00792104">
        <w:rPr>
          <w:rFonts w:cstheme="minorHAnsi"/>
        </w:rPr>
        <w:t xml:space="preserve">, we aim to not only address the current research gap but also to serve as a catalyst for future investigations. Moreover, the findings from this study can potentially lay the groundwork for subsequent researchers, guiding them to explore diverse perspectives and propose innovative solutions. The emphasis will be on developing strategic plans and fostering social and cultural awareness to actively mitigate and reduce gender inequality within the UK </w:t>
      </w:r>
      <w:r w:rsidR="00C751C5">
        <w:rPr>
          <w:rFonts w:cstheme="minorHAnsi"/>
        </w:rPr>
        <w:t xml:space="preserve">HE </w:t>
      </w:r>
      <w:r w:rsidRPr="00792104">
        <w:rPr>
          <w:rFonts w:cstheme="minorHAnsi"/>
        </w:rPr>
        <w:t>sector, particularly at the professorial level.</w:t>
      </w:r>
    </w:p>
    <w:p w14:paraId="0385A658" w14:textId="77777777" w:rsidR="00E4613A" w:rsidRPr="00792104" w:rsidRDefault="00E4613A" w:rsidP="0045640D">
      <w:pPr>
        <w:jc w:val="both"/>
        <w:rPr>
          <w:rFonts w:cstheme="minorHAnsi"/>
        </w:rPr>
      </w:pPr>
    </w:p>
    <w:p w14:paraId="72366DC9" w14:textId="743CDAF9" w:rsidR="00A30624" w:rsidRPr="00376E53" w:rsidRDefault="00E4613A" w:rsidP="00547219">
      <w:pPr>
        <w:jc w:val="both"/>
        <w:rPr>
          <w:rFonts w:cstheme="minorHAnsi"/>
          <w:b/>
          <w:bCs/>
        </w:rPr>
      </w:pPr>
      <w:r w:rsidRPr="00376E53">
        <w:rPr>
          <w:rFonts w:cstheme="minorHAnsi"/>
          <w:b/>
          <w:bCs/>
        </w:rPr>
        <w:t>References</w:t>
      </w:r>
    </w:p>
    <w:p w14:paraId="2D1EB60D" w14:textId="77777777" w:rsidR="00A30624" w:rsidRPr="00792104" w:rsidRDefault="00A30624" w:rsidP="00A30624">
      <w:pPr>
        <w:ind w:hanging="720"/>
        <w:jc w:val="both"/>
        <w:rPr>
          <w:rFonts w:cstheme="minorHAnsi"/>
        </w:rPr>
      </w:pPr>
    </w:p>
    <w:p w14:paraId="0E3AD848" w14:textId="77777777" w:rsidR="00A30624" w:rsidRPr="00792104" w:rsidRDefault="00A30624" w:rsidP="00A30624">
      <w:pPr>
        <w:ind w:hanging="720"/>
        <w:jc w:val="both"/>
        <w:rPr>
          <w:rFonts w:cstheme="minorHAnsi"/>
        </w:rPr>
      </w:pPr>
      <w:r w:rsidRPr="00792104">
        <w:rPr>
          <w:rFonts w:cstheme="minorHAnsi"/>
          <w:color w:val="222222"/>
          <w:shd w:val="clear" w:color="auto" w:fill="FFFFFF"/>
        </w:rPr>
        <w:t>Acker, J., 1990. Hierarchies, jobs, bodies: A theory of gendered organizations. </w:t>
      </w:r>
      <w:r w:rsidRPr="00792104">
        <w:rPr>
          <w:rFonts w:cstheme="minorHAnsi"/>
          <w:i/>
          <w:iCs/>
          <w:color w:val="222222"/>
          <w:shd w:val="clear" w:color="auto" w:fill="FFFFFF"/>
        </w:rPr>
        <w:t>Gender &amp; society</w:t>
      </w:r>
      <w:r w:rsidRPr="00792104">
        <w:rPr>
          <w:rFonts w:cstheme="minorHAnsi"/>
          <w:color w:val="222222"/>
          <w:shd w:val="clear" w:color="auto" w:fill="FFFFFF"/>
        </w:rPr>
        <w:t>, </w:t>
      </w:r>
      <w:r w:rsidRPr="00792104">
        <w:rPr>
          <w:rFonts w:cstheme="minorHAnsi"/>
          <w:i/>
          <w:iCs/>
          <w:color w:val="222222"/>
          <w:shd w:val="clear" w:color="auto" w:fill="FFFFFF"/>
        </w:rPr>
        <w:t>4</w:t>
      </w:r>
      <w:r w:rsidRPr="00792104">
        <w:rPr>
          <w:rFonts w:cstheme="minorHAnsi"/>
          <w:color w:val="222222"/>
          <w:shd w:val="clear" w:color="auto" w:fill="FFFFFF"/>
        </w:rPr>
        <w:t xml:space="preserve">(2), pp.139-158. </w:t>
      </w:r>
    </w:p>
    <w:p w14:paraId="0288078B" w14:textId="77777777" w:rsidR="00A30624" w:rsidRPr="00792104" w:rsidRDefault="00A30624" w:rsidP="00A30624">
      <w:pPr>
        <w:ind w:hanging="720"/>
        <w:jc w:val="both"/>
        <w:rPr>
          <w:rFonts w:cstheme="minorHAnsi"/>
        </w:rPr>
      </w:pPr>
      <w:proofErr w:type="spellStart"/>
      <w:r w:rsidRPr="00792104">
        <w:rPr>
          <w:rFonts w:cstheme="minorHAnsi"/>
          <w:color w:val="222222"/>
          <w:shd w:val="clear" w:color="auto" w:fill="FFFFFF"/>
        </w:rPr>
        <w:t>Benschop</w:t>
      </w:r>
      <w:proofErr w:type="spellEnd"/>
      <w:r w:rsidRPr="00792104">
        <w:rPr>
          <w:rFonts w:cstheme="minorHAnsi"/>
          <w:color w:val="222222"/>
          <w:shd w:val="clear" w:color="auto" w:fill="FFFFFF"/>
        </w:rPr>
        <w:t>, Y. and van den Brink, M., 2019. The godmother of gendered organizations: In celebration of the work of Joan Acker. </w:t>
      </w:r>
      <w:r w:rsidRPr="00792104">
        <w:rPr>
          <w:rFonts w:cstheme="minorHAnsi"/>
          <w:i/>
          <w:iCs/>
          <w:color w:val="222222"/>
          <w:shd w:val="clear" w:color="auto" w:fill="FFFFFF"/>
        </w:rPr>
        <w:t>Gender, Work &amp; Organization</w:t>
      </w:r>
      <w:r w:rsidRPr="00792104">
        <w:rPr>
          <w:rFonts w:cstheme="minorHAnsi"/>
          <w:color w:val="222222"/>
          <w:shd w:val="clear" w:color="auto" w:fill="FFFFFF"/>
        </w:rPr>
        <w:t>, </w:t>
      </w:r>
      <w:r w:rsidRPr="00792104">
        <w:rPr>
          <w:rFonts w:cstheme="minorHAnsi"/>
          <w:i/>
          <w:iCs/>
          <w:color w:val="222222"/>
          <w:shd w:val="clear" w:color="auto" w:fill="FFFFFF"/>
        </w:rPr>
        <w:t>26</w:t>
      </w:r>
      <w:r w:rsidRPr="00792104">
        <w:rPr>
          <w:rFonts w:cstheme="minorHAnsi"/>
          <w:color w:val="222222"/>
          <w:shd w:val="clear" w:color="auto" w:fill="FFFFFF"/>
        </w:rPr>
        <w:t xml:space="preserve">(12), pp.1763-1772. </w:t>
      </w:r>
    </w:p>
    <w:p w14:paraId="37961A9E" w14:textId="77777777" w:rsidR="00A30624" w:rsidRPr="00792104" w:rsidRDefault="00A30624" w:rsidP="00A30624">
      <w:pPr>
        <w:ind w:left="170" w:right="113" w:hanging="720"/>
        <w:jc w:val="both"/>
        <w:rPr>
          <w:rFonts w:cstheme="minorHAnsi"/>
          <w:noProof/>
        </w:rPr>
      </w:pPr>
      <w:r w:rsidRPr="00792104">
        <w:rPr>
          <w:rFonts w:cstheme="minorHAnsi"/>
          <w:noProof/>
        </w:rPr>
        <w:t xml:space="preserve">Bhopal, K., 2020. Gender, ethnicity and career progression in UK higher education: a case study analysis. </w:t>
      </w:r>
      <w:r w:rsidRPr="00792104">
        <w:rPr>
          <w:rFonts w:cstheme="minorHAnsi"/>
          <w:i/>
          <w:iCs/>
          <w:noProof/>
        </w:rPr>
        <w:t xml:space="preserve">Research Papers in Education, </w:t>
      </w:r>
      <w:r w:rsidRPr="00792104">
        <w:rPr>
          <w:rFonts w:cstheme="minorHAnsi"/>
          <w:noProof/>
        </w:rPr>
        <w:t>35(6), pp. 706-721.</w:t>
      </w:r>
    </w:p>
    <w:p w14:paraId="1487DEF1" w14:textId="77777777" w:rsidR="00A30624" w:rsidRPr="00792104" w:rsidRDefault="00A30624" w:rsidP="00A30624">
      <w:pPr>
        <w:ind w:hanging="720"/>
        <w:rPr>
          <w:rFonts w:cstheme="minorHAnsi"/>
          <w:color w:val="222222"/>
          <w:shd w:val="clear" w:color="auto" w:fill="FFFFFF"/>
        </w:rPr>
      </w:pPr>
      <w:r w:rsidRPr="00792104">
        <w:rPr>
          <w:rFonts w:cstheme="minorHAnsi"/>
          <w:color w:val="222222"/>
          <w:shd w:val="clear" w:color="auto" w:fill="FFFFFF"/>
        </w:rPr>
        <w:t>Burkinshaw, P. and White, K., 2017. Fixing the women or fixing universities: Women in HE leadership. </w:t>
      </w:r>
      <w:r w:rsidRPr="00792104">
        <w:rPr>
          <w:rFonts w:cstheme="minorHAnsi"/>
          <w:i/>
          <w:iCs/>
          <w:color w:val="222222"/>
          <w:shd w:val="clear" w:color="auto" w:fill="FFFFFF"/>
        </w:rPr>
        <w:t>Administrative Sciences</w:t>
      </w:r>
      <w:r w:rsidRPr="00792104">
        <w:rPr>
          <w:rFonts w:cstheme="minorHAnsi"/>
          <w:color w:val="222222"/>
          <w:shd w:val="clear" w:color="auto" w:fill="FFFFFF"/>
        </w:rPr>
        <w:t>, </w:t>
      </w:r>
      <w:r w:rsidRPr="00792104">
        <w:rPr>
          <w:rFonts w:cstheme="minorHAnsi"/>
          <w:i/>
          <w:iCs/>
          <w:color w:val="222222"/>
          <w:shd w:val="clear" w:color="auto" w:fill="FFFFFF"/>
        </w:rPr>
        <w:t>7</w:t>
      </w:r>
      <w:r w:rsidRPr="00792104">
        <w:rPr>
          <w:rFonts w:cstheme="minorHAnsi"/>
          <w:color w:val="222222"/>
          <w:shd w:val="clear" w:color="auto" w:fill="FFFFFF"/>
        </w:rPr>
        <w:t>(3), p.30.</w:t>
      </w:r>
    </w:p>
    <w:p w14:paraId="3B808F3B" w14:textId="77777777" w:rsidR="00A30624" w:rsidRPr="00792104" w:rsidRDefault="00A30624" w:rsidP="00A30624">
      <w:pPr>
        <w:spacing w:line="360" w:lineRule="auto"/>
        <w:ind w:left="170" w:right="113" w:hanging="720"/>
        <w:rPr>
          <w:rFonts w:cstheme="minorHAnsi"/>
        </w:rPr>
      </w:pPr>
      <w:r w:rsidRPr="00792104">
        <w:rPr>
          <w:rFonts w:cstheme="minorHAnsi"/>
        </w:rPr>
        <w:t xml:space="preserve">Creswell, J.W. and </w:t>
      </w:r>
      <w:proofErr w:type="spellStart"/>
      <w:r w:rsidRPr="00792104">
        <w:rPr>
          <w:rFonts w:cstheme="minorHAnsi"/>
        </w:rPr>
        <w:t>Poth</w:t>
      </w:r>
      <w:proofErr w:type="spellEnd"/>
      <w:r w:rsidRPr="00792104">
        <w:rPr>
          <w:rFonts w:cstheme="minorHAnsi"/>
        </w:rPr>
        <w:t>, C.N., 2016. Qualitative inquiry and research design: Choosing among five approaches. Sage publications.</w:t>
      </w:r>
    </w:p>
    <w:p w14:paraId="4E038F71" w14:textId="77777777" w:rsidR="00A30624" w:rsidRPr="00792104" w:rsidRDefault="00A30624" w:rsidP="00A30624">
      <w:pPr>
        <w:ind w:hanging="720"/>
        <w:jc w:val="both"/>
        <w:rPr>
          <w:rFonts w:cstheme="minorHAnsi"/>
        </w:rPr>
      </w:pPr>
      <w:r w:rsidRPr="00792104">
        <w:rPr>
          <w:rFonts w:cstheme="minorHAnsi"/>
          <w:color w:val="222222"/>
          <w:shd w:val="clear" w:color="auto" w:fill="FFFFFF"/>
        </w:rPr>
        <w:t>Evans, K.J. and Maley, J.F., 2021. Barriers to women in senior leadership: how unconscious bias is holding back Australia’s economy. </w:t>
      </w:r>
      <w:r w:rsidRPr="00792104">
        <w:rPr>
          <w:rFonts w:cstheme="minorHAnsi"/>
          <w:i/>
          <w:iCs/>
          <w:color w:val="222222"/>
          <w:shd w:val="clear" w:color="auto" w:fill="FFFFFF"/>
        </w:rPr>
        <w:t>Asia Pacific Journal of Human Resources</w:t>
      </w:r>
      <w:r w:rsidRPr="00792104">
        <w:rPr>
          <w:rFonts w:cstheme="minorHAnsi"/>
          <w:color w:val="222222"/>
          <w:shd w:val="clear" w:color="auto" w:fill="FFFFFF"/>
        </w:rPr>
        <w:t>, </w:t>
      </w:r>
      <w:r w:rsidRPr="00792104">
        <w:rPr>
          <w:rFonts w:cstheme="minorHAnsi"/>
          <w:i/>
          <w:iCs/>
          <w:color w:val="222222"/>
          <w:shd w:val="clear" w:color="auto" w:fill="FFFFFF"/>
        </w:rPr>
        <w:t>59</w:t>
      </w:r>
      <w:r w:rsidRPr="00792104">
        <w:rPr>
          <w:rFonts w:cstheme="minorHAnsi"/>
          <w:color w:val="222222"/>
          <w:shd w:val="clear" w:color="auto" w:fill="FFFFFF"/>
        </w:rPr>
        <w:t>(2), pp.204-226.</w:t>
      </w:r>
    </w:p>
    <w:p w14:paraId="79A2C70D" w14:textId="77777777" w:rsidR="00A30624" w:rsidRPr="00792104" w:rsidRDefault="00A30624" w:rsidP="00A30624">
      <w:pPr>
        <w:ind w:hanging="720"/>
        <w:jc w:val="both"/>
        <w:rPr>
          <w:rFonts w:cstheme="minorHAnsi"/>
        </w:rPr>
      </w:pPr>
      <w:r w:rsidRPr="00792104">
        <w:rPr>
          <w:rFonts w:cstheme="minorHAnsi"/>
          <w:color w:val="222222"/>
          <w:shd w:val="clear" w:color="auto" w:fill="FFFFFF"/>
        </w:rPr>
        <w:t>Harvey, M. and Jones, S., 2022. Challenge Accepted: Women Claiming Leadership in Higher Education Learning and Teaching. </w:t>
      </w:r>
      <w:r w:rsidRPr="00792104">
        <w:rPr>
          <w:rFonts w:cstheme="minorHAnsi"/>
          <w:i/>
          <w:iCs/>
          <w:color w:val="222222"/>
          <w:shd w:val="clear" w:color="auto" w:fill="FFFFFF"/>
        </w:rPr>
        <w:t>Journal of University Teaching and Learning Practice</w:t>
      </w:r>
      <w:r w:rsidRPr="00792104">
        <w:rPr>
          <w:rFonts w:cstheme="minorHAnsi"/>
          <w:color w:val="222222"/>
          <w:shd w:val="clear" w:color="auto" w:fill="FFFFFF"/>
        </w:rPr>
        <w:t>, </w:t>
      </w:r>
      <w:r w:rsidRPr="00792104">
        <w:rPr>
          <w:rFonts w:cstheme="minorHAnsi"/>
          <w:i/>
          <w:iCs/>
          <w:color w:val="222222"/>
          <w:shd w:val="clear" w:color="auto" w:fill="FFFFFF"/>
        </w:rPr>
        <w:t>19</w:t>
      </w:r>
      <w:r w:rsidRPr="00792104">
        <w:rPr>
          <w:rFonts w:cstheme="minorHAnsi"/>
          <w:color w:val="222222"/>
          <w:shd w:val="clear" w:color="auto" w:fill="FFFFFF"/>
        </w:rPr>
        <w:t xml:space="preserve">(1), pp.68-89. </w:t>
      </w:r>
    </w:p>
    <w:p w14:paraId="74BB383A" w14:textId="77777777" w:rsidR="00A30624" w:rsidRPr="00792104" w:rsidRDefault="00000000" w:rsidP="00A30624">
      <w:pPr>
        <w:ind w:hanging="720"/>
        <w:jc w:val="both"/>
        <w:rPr>
          <w:rFonts w:cstheme="minorHAnsi"/>
        </w:rPr>
      </w:pPr>
      <w:hyperlink r:id="rId6" w:history="1">
        <w:r w:rsidR="00A30624" w:rsidRPr="00792104">
          <w:rPr>
            <w:rStyle w:val="Hyperlink"/>
            <w:rFonts w:cstheme="minorHAnsi"/>
          </w:rPr>
          <w:t>https://genderdata.worldbank.org/countries/united-kingdom</w:t>
        </w:r>
      </w:hyperlink>
      <w:r w:rsidR="00A30624" w:rsidRPr="00792104">
        <w:rPr>
          <w:rFonts w:cstheme="minorHAnsi"/>
        </w:rPr>
        <w:t xml:space="preserve"> </w:t>
      </w:r>
    </w:p>
    <w:p w14:paraId="4D6908AC" w14:textId="77777777" w:rsidR="00A30624" w:rsidRPr="00792104" w:rsidRDefault="00000000" w:rsidP="00A30624">
      <w:pPr>
        <w:ind w:hanging="720"/>
        <w:jc w:val="both"/>
        <w:rPr>
          <w:rFonts w:cstheme="minorHAnsi"/>
        </w:rPr>
      </w:pPr>
      <w:hyperlink r:id="rId7" w:history="1">
        <w:r w:rsidR="00A30624" w:rsidRPr="00792104">
          <w:rPr>
            <w:rStyle w:val="Hyperlink"/>
            <w:rFonts w:cstheme="minorHAnsi"/>
          </w:rPr>
          <w:t>https://genderdata.worldbank.org/indicators/sl-tlf-cact-fm-zs?view=correlation</w:t>
        </w:r>
      </w:hyperlink>
      <w:r w:rsidR="00A30624" w:rsidRPr="00792104">
        <w:rPr>
          <w:rFonts w:cstheme="minorHAnsi"/>
        </w:rPr>
        <w:t xml:space="preserve"> </w:t>
      </w:r>
    </w:p>
    <w:p w14:paraId="517E9536" w14:textId="77777777" w:rsidR="00A30624" w:rsidRPr="00792104" w:rsidRDefault="00000000" w:rsidP="00A30624">
      <w:pPr>
        <w:ind w:hanging="720"/>
        <w:jc w:val="both"/>
        <w:rPr>
          <w:rFonts w:cstheme="minorHAnsi"/>
        </w:rPr>
      </w:pPr>
      <w:hyperlink r:id="rId8" w:history="1">
        <w:r w:rsidR="00A30624" w:rsidRPr="00792104">
          <w:rPr>
            <w:rStyle w:val="Hyperlink"/>
            <w:rFonts w:cstheme="minorHAnsi"/>
          </w:rPr>
          <w:t>https://www.advance-he.ac.uk/equality-charters/athena-swan-charter</w:t>
        </w:r>
      </w:hyperlink>
      <w:r w:rsidR="00A30624" w:rsidRPr="00792104">
        <w:rPr>
          <w:rFonts w:cstheme="minorHAnsi"/>
        </w:rPr>
        <w:t xml:space="preserve"> </w:t>
      </w:r>
    </w:p>
    <w:p w14:paraId="002F1396" w14:textId="77777777" w:rsidR="00A30624" w:rsidRPr="00792104" w:rsidRDefault="00000000" w:rsidP="00A30624">
      <w:pPr>
        <w:ind w:hanging="720"/>
        <w:jc w:val="both"/>
        <w:rPr>
          <w:rFonts w:cstheme="minorHAnsi"/>
        </w:rPr>
      </w:pPr>
      <w:hyperlink r:id="rId9" w:anchor=" :~:text=Female%20staff%20accounted%20for%2049,time%20academic%20staff%20were%20female" w:history="1">
        <w:r w:rsidR="00A30624" w:rsidRPr="00792104">
          <w:rPr>
            <w:rStyle w:val="Hyperlink"/>
            <w:rFonts w:cstheme="minorHAnsi"/>
          </w:rPr>
          <w:t>https://www.hesa.ac.uk/news/17-01-2023/sb264-higher-education-staff-statistics# :~:text=Female%20staff%20accounted%20for%2049,time%20academic%20staff%20were%20female</w:t>
        </w:r>
      </w:hyperlink>
      <w:r w:rsidR="00A30624" w:rsidRPr="00792104">
        <w:rPr>
          <w:rFonts w:cstheme="minorHAnsi"/>
        </w:rPr>
        <w:t xml:space="preserve"> </w:t>
      </w:r>
    </w:p>
    <w:p w14:paraId="290F023D" w14:textId="77777777" w:rsidR="00A30624" w:rsidRPr="00792104" w:rsidRDefault="00000000" w:rsidP="00A30624">
      <w:pPr>
        <w:ind w:hanging="720"/>
        <w:jc w:val="both"/>
        <w:rPr>
          <w:rFonts w:cstheme="minorHAnsi"/>
        </w:rPr>
      </w:pPr>
      <w:hyperlink r:id="rId10" w:anchor=":~:text=Staff%20numbers,at%20UK%20higher%20education%20institutions" w:history="1">
        <w:r w:rsidR="00A30624" w:rsidRPr="00792104">
          <w:rPr>
            <w:rStyle w:val="Hyperlink"/>
            <w:rFonts w:cstheme="minorHAnsi"/>
          </w:rPr>
          <w:t>https://www.universitiesuk.ac.uk/latest/insights-and-analysis/higher-education-numbers#:~:text=Staff%20numbers,at%20UK%20higher%20education%20institutions</w:t>
        </w:r>
      </w:hyperlink>
      <w:r w:rsidR="00A30624" w:rsidRPr="00792104">
        <w:rPr>
          <w:rFonts w:cstheme="minorHAnsi"/>
        </w:rPr>
        <w:t xml:space="preserve">. </w:t>
      </w:r>
    </w:p>
    <w:p w14:paraId="3FD5A019" w14:textId="77777777" w:rsidR="00A30624" w:rsidRPr="00792104" w:rsidRDefault="00A30624" w:rsidP="00A30624">
      <w:pPr>
        <w:ind w:hanging="720"/>
        <w:jc w:val="both"/>
        <w:rPr>
          <w:rFonts w:cstheme="minorHAnsi"/>
        </w:rPr>
      </w:pPr>
      <w:r w:rsidRPr="00792104">
        <w:rPr>
          <w:rFonts w:cstheme="minorHAnsi"/>
        </w:rPr>
        <w:t xml:space="preserve">Jackson, I., 2023. One in seven HR leaders think men are better suited to management jobs, research reveals. [online] Available at: </w:t>
      </w:r>
      <w:hyperlink r:id="rId11" w:history="1">
        <w:r w:rsidRPr="00792104">
          <w:rPr>
            <w:rStyle w:val="Hyperlink"/>
            <w:rFonts w:cstheme="minorHAnsi"/>
          </w:rPr>
          <w:t>https://www.peoplemanagement.co.uk</w:t>
        </w:r>
      </w:hyperlink>
      <w:r w:rsidRPr="00792104">
        <w:rPr>
          <w:rFonts w:cstheme="minorHAnsi"/>
        </w:rPr>
        <w:t xml:space="preserve"> (Access 10/12/2023).</w:t>
      </w:r>
    </w:p>
    <w:p w14:paraId="016BC151" w14:textId="77777777" w:rsidR="00A30624" w:rsidRPr="00792104" w:rsidRDefault="00A30624" w:rsidP="00A30624">
      <w:pPr>
        <w:ind w:hanging="720"/>
        <w:jc w:val="both"/>
        <w:rPr>
          <w:rFonts w:cstheme="minorHAnsi"/>
        </w:rPr>
      </w:pPr>
      <w:proofErr w:type="spellStart"/>
      <w:r w:rsidRPr="00792104">
        <w:rPr>
          <w:rFonts w:cstheme="minorHAnsi"/>
          <w:color w:val="222222"/>
          <w:shd w:val="clear" w:color="auto" w:fill="FFFFFF"/>
        </w:rPr>
        <w:t>Meletiadou</w:t>
      </w:r>
      <w:proofErr w:type="spellEnd"/>
      <w:r w:rsidRPr="00792104">
        <w:rPr>
          <w:rFonts w:cstheme="minorHAnsi"/>
          <w:color w:val="222222"/>
          <w:shd w:val="clear" w:color="auto" w:fill="FFFFFF"/>
        </w:rPr>
        <w:t xml:space="preserve">, E., Iron fists in velvet gloves: Exploring female leaders’ experiences amid the COVID-19 pandemic in the UK. </w:t>
      </w:r>
    </w:p>
    <w:p w14:paraId="1DE3F8ED" w14:textId="77777777" w:rsidR="00A30624" w:rsidRPr="00792104" w:rsidRDefault="00A30624" w:rsidP="00A30624">
      <w:pPr>
        <w:ind w:hanging="720"/>
        <w:jc w:val="both"/>
        <w:rPr>
          <w:rFonts w:cstheme="minorHAnsi"/>
        </w:rPr>
      </w:pPr>
      <w:r w:rsidRPr="00792104">
        <w:rPr>
          <w:rFonts w:cstheme="minorHAnsi"/>
          <w:color w:val="222222"/>
          <w:shd w:val="clear" w:color="auto" w:fill="FFFFFF"/>
        </w:rPr>
        <w:t>Nkomo, S.M. and Rodriguez, J.K., 2019. Joan Acker's influence on management and organization studies: Review, analysis and directions for the future. </w:t>
      </w:r>
      <w:r w:rsidRPr="00792104">
        <w:rPr>
          <w:rFonts w:cstheme="minorHAnsi"/>
          <w:i/>
          <w:iCs/>
          <w:color w:val="222222"/>
          <w:shd w:val="clear" w:color="auto" w:fill="FFFFFF"/>
        </w:rPr>
        <w:t>Gender, Work &amp; Organization</w:t>
      </w:r>
      <w:r w:rsidRPr="00792104">
        <w:rPr>
          <w:rFonts w:cstheme="minorHAnsi"/>
          <w:color w:val="222222"/>
          <w:shd w:val="clear" w:color="auto" w:fill="FFFFFF"/>
        </w:rPr>
        <w:t>, </w:t>
      </w:r>
      <w:r w:rsidRPr="00792104">
        <w:rPr>
          <w:rFonts w:cstheme="minorHAnsi"/>
          <w:i/>
          <w:iCs/>
          <w:color w:val="222222"/>
          <w:shd w:val="clear" w:color="auto" w:fill="FFFFFF"/>
        </w:rPr>
        <w:t>26</w:t>
      </w:r>
      <w:r w:rsidRPr="00792104">
        <w:rPr>
          <w:rFonts w:cstheme="minorHAnsi"/>
          <w:color w:val="222222"/>
          <w:shd w:val="clear" w:color="auto" w:fill="FFFFFF"/>
        </w:rPr>
        <w:t xml:space="preserve">(12), pp.1730-1748. </w:t>
      </w:r>
    </w:p>
    <w:p w14:paraId="4DD14DED" w14:textId="77777777" w:rsidR="00A30624" w:rsidRPr="00792104" w:rsidRDefault="00A30624" w:rsidP="00A30624">
      <w:pPr>
        <w:ind w:left="170" w:right="113" w:hanging="720"/>
        <w:jc w:val="both"/>
        <w:rPr>
          <w:rFonts w:cstheme="minorHAnsi"/>
          <w:color w:val="222222"/>
          <w:shd w:val="clear" w:color="auto" w:fill="FFFFFF"/>
        </w:rPr>
      </w:pPr>
      <w:r w:rsidRPr="00792104">
        <w:rPr>
          <w:rFonts w:cstheme="minorHAnsi"/>
          <w:color w:val="222222"/>
          <w:shd w:val="clear" w:color="auto" w:fill="FFFFFF"/>
        </w:rPr>
        <w:t>Saunders, M. N. K., Lewis, P., &amp; Thornhill, A. 2023. Research methods for business students (9th ed.). Harlow, England; New York: Pearson.</w:t>
      </w:r>
    </w:p>
    <w:p w14:paraId="71A75A6B" w14:textId="77777777" w:rsidR="00A30624" w:rsidRPr="00792104" w:rsidRDefault="00A30624" w:rsidP="00A30624">
      <w:pPr>
        <w:spacing w:line="360" w:lineRule="auto"/>
        <w:ind w:left="170" w:right="113" w:hanging="720"/>
        <w:rPr>
          <w:rFonts w:cstheme="minorHAnsi"/>
        </w:rPr>
      </w:pPr>
      <w:r w:rsidRPr="00792104">
        <w:rPr>
          <w:rFonts w:cstheme="minorHAnsi"/>
          <w:color w:val="222222"/>
          <w:shd w:val="clear" w:color="auto" w:fill="FFFFFF"/>
        </w:rPr>
        <w:t>Saunders, M.N. and Lee, B., 2017. Conducting case study research for business and management students. </w:t>
      </w:r>
      <w:r w:rsidRPr="00792104">
        <w:rPr>
          <w:rFonts w:cstheme="minorHAnsi"/>
          <w:i/>
          <w:iCs/>
          <w:color w:val="222222"/>
          <w:shd w:val="clear" w:color="auto" w:fill="FFFFFF"/>
        </w:rPr>
        <w:t>Conducting Case Study Research for Business and Management Students</w:t>
      </w:r>
      <w:r w:rsidRPr="00792104">
        <w:rPr>
          <w:rFonts w:cstheme="minorHAnsi"/>
          <w:color w:val="222222"/>
          <w:shd w:val="clear" w:color="auto" w:fill="FFFFFF"/>
        </w:rPr>
        <w:t>, pp.1-136.</w:t>
      </w:r>
    </w:p>
    <w:p w14:paraId="3C44B0CF" w14:textId="77777777" w:rsidR="00A30624" w:rsidRPr="00792104" w:rsidRDefault="00A30624" w:rsidP="00A30624">
      <w:pPr>
        <w:ind w:hanging="720"/>
        <w:rPr>
          <w:rFonts w:cstheme="minorHAnsi"/>
          <w:color w:val="222222"/>
          <w:shd w:val="clear" w:color="auto" w:fill="FFFFFF"/>
        </w:rPr>
      </w:pPr>
      <w:r w:rsidRPr="00792104">
        <w:rPr>
          <w:rFonts w:cstheme="minorHAnsi"/>
          <w:color w:val="222222"/>
          <w:shd w:val="clear" w:color="auto" w:fill="FFFFFF"/>
        </w:rPr>
        <w:t>Savigny, H., 2014. Women, know your limits: Cultural sexism in academia. </w:t>
      </w:r>
      <w:r w:rsidRPr="00792104">
        <w:rPr>
          <w:rFonts w:cstheme="minorHAnsi"/>
          <w:i/>
          <w:iCs/>
          <w:color w:val="222222"/>
          <w:shd w:val="clear" w:color="auto" w:fill="FFFFFF"/>
        </w:rPr>
        <w:t>Gender and education</w:t>
      </w:r>
      <w:r w:rsidRPr="00792104">
        <w:rPr>
          <w:rFonts w:cstheme="minorHAnsi"/>
          <w:color w:val="222222"/>
          <w:shd w:val="clear" w:color="auto" w:fill="FFFFFF"/>
        </w:rPr>
        <w:t>, </w:t>
      </w:r>
      <w:r w:rsidRPr="00792104">
        <w:rPr>
          <w:rFonts w:cstheme="minorHAnsi"/>
          <w:i/>
          <w:iCs/>
          <w:color w:val="222222"/>
          <w:shd w:val="clear" w:color="auto" w:fill="FFFFFF"/>
        </w:rPr>
        <w:t>26</w:t>
      </w:r>
      <w:r w:rsidRPr="00792104">
        <w:rPr>
          <w:rFonts w:cstheme="minorHAnsi"/>
          <w:color w:val="222222"/>
          <w:shd w:val="clear" w:color="auto" w:fill="FFFFFF"/>
        </w:rPr>
        <w:t>(7), pp.794-809.</w:t>
      </w:r>
    </w:p>
    <w:p w14:paraId="323FCB71" w14:textId="77777777" w:rsidR="00A30624" w:rsidRPr="00792104" w:rsidRDefault="00A30624" w:rsidP="00A30624">
      <w:pPr>
        <w:spacing w:line="360" w:lineRule="auto"/>
        <w:ind w:left="170" w:right="113" w:hanging="720"/>
        <w:jc w:val="both"/>
        <w:rPr>
          <w:rFonts w:cstheme="minorHAnsi"/>
        </w:rPr>
      </w:pPr>
      <w:r w:rsidRPr="00792104">
        <w:rPr>
          <w:rFonts w:cstheme="minorHAnsi"/>
        </w:rPr>
        <w:t xml:space="preserve">Tamminen, K.A. and Poucher, Z.A., 2020. Research philosophies. In The Routledge International </w:t>
      </w:r>
      <w:proofErr w:type="spellStart"/>
      <w:r w:rsidRPr="00792104">
        <w:rPr>
          <w:rFonts w:cstheme="minorHAnsi"/>
        </w:rPr>
        <w:t>Encyclopedia</w:t>
      </w:r>
      <w:proofErr w:type="spellEnd"/>
      <w:r w:rsidRPr="00792104">
        <w:rPr>
          <w:rFonts w:cstheme="minorHAnsi"/>
        </w:rPr>
        <w:t xml:space="preserve"> of Sport and Exercise Psychology (pp. 535-549). Routledge.</w:t>
      </w:r>
    </w:p>
    <w:p w14:paraId="546C8A83" w14:textId="77777777" w:rsidR="00A30624" w:rsidRPr="00792104" w:rsidRDefault="00A30624" w:rsidP="00A30624">
      <w:pPr>
        <w:ind w:hanging="720"/>
        <w:rPr>
          <w:rFonts w:cstheme="minorHAnsi"/>
          <w:color w:val="222222"/>
          <w:shd w:val="clear" w:color="auto" w:fill="FFFFFF"/>
        </w:rPr>
      </w:pPr>
      <w:r w:rsidRPr="00792104">
        <w:rPr>
          <w:rFonts w:cstheme="minorHAnsi"/>
          <w:color w:val="222222"/>
          <w:shd w:val="clear" w:color="auto" w:fill="FFFFFF"/>
        </w:rPr>
        <w:t>Westoby, C., Dyson, J., Cowdell, F. and Buescher, T., 2021. What are the barriers and facilitators to success for female academics in UK HEIs? A narrative review. </w:t>
      </w:r>
      <w:r w:rsidRPr="00792104">
        <w:rPr>
          <w:rFonts w:cstheme="minorHAnsi"/>
          <w:i/>
          <w:iCs/>
          <w:color w:val="222222"/>
          <w:shd w:val="clear" w:color="auto" w:fill="FFFFFF"/>
        </w:rPr>
        <w:t>Gender and Education</w:t>
      </w:r>
      <w:r w:rsidRPr="00792104">
        <w:rPr>
          <w:rFonts w:cstheme="minorHAnsi"/>
          <w:color w:val="222222"/>
          <w:shd w:val="clear" w:color="auto" w:fill="FFFFFF"/>
        </w:rPr>
        <w:t>, </w:t>
      </w:r>
      <w:r w:rsidRPr="00792104">
        <w:rPr>
          <w:rFonts w:cstheme="minorHAnsi"/>
          <w:i/>
          <w:iCs/>
          <w:color w:val="222222"/>
          <w:shd w:val="clear" w:color="auto" w:fill="FFFFFF"/>
        </w:rPr>
        <w:t>33</w:t>
      </w:r>
      <w:r w:rsidRPr="00792104">
        <w:rPr>
          <w:rFonts w:cstheme="minorHAnsi"/>
          <w:color w:val="222222"/>
          <w:shd w:val="clear" w:color="auto" w:fill="FFFFFF"/>
        </w:rPr>
        <w:t>(8), pp.1033-1056.</w:t>
      </w:r>
    </w:p>
    <w:p w14:paraId="630AA2F9" w14:textId="77777777" w:rsidR="00A30624" w:rsidRPr="00792104" w:rsidRDefault="00A30624" w:rsidP="00A30624">
      <w:pPr>
        <w:spacing w:line="360" w:lineRule="auto"/>
        <w:ind w:left="170" w:right="113" w:hanging="720"/>
        <w:jc w:val="both"/>
        <w:rPr>
          <w:rFonts w:cstheme="minorHAnsi"/>
          <w:color w:val="222222"/>
          <w:shd w:val="clear" w:color="auto" w:fill="FFFFFF"/>
        </w:rPr>
      </w:pPr>
      <w:r w:rsidRPr="00792104">
        <w:rPr>
          <w:rFonts w:cstheme="minorHAnsi"/>
          <w:color w:val="222222"/>
          <w:shd w:val="clear" w:color="auto" w:fill="FFFFFF"/>
        </w:rPr>
        <w:t>Westoby, C., Dyson, J., Cowdell, F., &amp; Buescher, T. (2021). What are the barriers and facilitators to success for female academics in UK HEIs? A narrative review. </w:t>
      </w:r>
      <w:r w:rsidRPr="00792104">
        <w:rPr>
          <w:rFonts w:cstheme="minorHAnsi"/>
          <w:i/>
          <w:iCs/>
          <w:color w:val="222222"/>
          <w:shd w:val="clear" w:color="auto" w:fill="FFFFFF"/>
        </w:rPr>
        <w:t>Gender and Education</w:t>
      </w:r>
      <w:r w:rsidRPr="00792104">
        <w:rPr>
          <w:rFonts w:cstheme="minorHAnsi"/>
          <w:color w:val="222222"/>
          <w:shd w:val="clear" w:color="auto" w:fill="FFFFFF"/>
        </w:rPr>
        <w:t>, </w:t>
      </w:r>
      <w:r w:rsidRPr="00792104">
        <w:rPr>
          <w:rFonts w:cstheme="minorHAnsi"/>
          <w:i/>
          <w:iCs/>
          <w:color w:val="222222"/>
          <w:shd w:val="clear" w:color="auto" w:fill="FFFFFF"/>
        </w:rPr>
        <w:t>33</w:t>
      </w:r>
      <w:r w:rsidRPr="00792104">
        <w:rPr>
          <w:rFonts w:cstheme="minorHAnsi"/>
          <w:color w:val="222222"/>
          <w:shd w:val="clear" w:color="auto" w:fill="FFFFFF"/>
        </w:rPr>
        <w:t>(8), 1033-1056.</w:t>
      </w:r>
    </w:p>
    <w:sectPr w:rsidR="00A30624" w:rsidRPr="007921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96FFE"/>
    <w:multiLevelType w:val="hybridMultilevel"/>
    <w:tmpl w:val="71E0373A"/>
    <w:lvl w:ilvl="0" w:tplc="0540D756">
      <w:start w:val="1"/>
      <w:numFmt w:val="bullet"/>
      <w:lvlText w:val="•"/>
      <w:lvlJc w:val="left"/>
      <w:pPr>
        <w:tabs>
          <w:tab w:val="num" w:pos="720"/>
        </w:tabs>
        <w:ind w:left="720" w:hanging="360"/>
      </w:pPr>
      <w:rPr>
        <w:rFonts w:ascii="Times New Roman" w:hAnsi="Times New Roman" w:hint="default"/>
      </w:rPr>
    </w:lvl>
    <w:lvl w:ilvl="1" w:tplc="B9965542" w:tentative="1">
      <w:start w:val="1"/>
      <w:numFmt w:val="bullet"/>
      <w:lvlText w:val="•"/>
      <w:lvlJc w:val="left"/>
      <w:pPr>
        <w:tabs>
          <w:tab w:val="num" w:pos="1440"/>
        </w:tabs>
        <w:ind w:left="1440" w:hanging="360"/>
      </w:pPr>
      <w:rPr>
        <w:rFonts w:ascii="Times New Roman" w:hAnsi="Times New Roman" w:hint="default"/>
      </w:rPr>
    </w:lvl>
    <w:lvl w:ilvl="2" w:tplc="585C1366" w:tentative="1">
      <w:start w:val="1"/>
      <w:numFmt w:val="bullet"/>
      <w:lvlText w:val="•"/>
      <w:lvlJc w:val="left"/>
      <w:pPr>
        <w:tabs>
          <w:tab w:val="num" w:pos="2160"/>
        </w:tabs>
        <w:ind w:left="2160" w:hanging="360"/>
      </w:pPr>
      <w:rPr>
        <w:rFonts w:ascii="Times New Roman" w:hAnsi="Times New Roman" w:hint="default"/>
      </w:rPr>
    </w:lvl>
    <w:lvl w:ilvl="3" w:tplc="9DE61722" w:tentative="1">
      <w:start w:val="1"/>
      <w:numFmt w:val="bullet"/>
      <w:lvlText w:val="•"/>
      <w:lvlJc w:val="left"/>
      <w:pPr>
        <w:tabs>
          <w:tab w:val="num" w:pos="2880"/>
        </w:tabs>
        <w:ind w:left="2880" w:hanging="360"/>
      </w:pPr>
      <w:rPr>
        <w:rFonts w:ascii="Times New Roman" w:hAnsi="Times New Roman" w:hint="default"/>
      </w:rPr>
    </w:lvl>
    <w:lvl w:ilvl="4" w:tplc="C39AA41A" w:tentative="1">
      <w:start w:val="1"/>
      <w:numFmt w:val="bullet"/>
      <w:lvlText w:val="•"/>
      <w:lvlJc w:val="left"/>
      <w:pPr>
        <w:tabs>
          <w:tab w:val="num" w:pos="3600"/>
        </w:tabs>
        <w:ind w:left="3600" w:hanging="360"/>
      </w:pPr>
      <w:rPr>
        <w:rFonts w:ascii="Times New Roman" w:hAnsi="Times New Roman" w:hint="default"/>
      </w:rPr>
    </w:lvl>
    <w:lvl w:ilvl="5" w:tplc="19AC3096" w:tentative="1">
      <w:start w:val="1"/>
      <w:numFmt w:val="bullet"/>
      <w:lvlText w:val="•"/>
      <w:lvlJc w:val="left"/>
      <w:pPr>
        <w:tabs>
          <w:tab w:val="num" w:pos="4320"/>
        </w:tabs>
        <w:ind w:left="4320" w:hanging="360"/>
      </w:pPr>
      <w:rPr>
        <w:rFonts w:ascii="Times New Roman" w:hAnsi="Times New Roman" w:hint="default"/>
      </w:rPr>
    </w:lvl>
    <w:lvl w:ilvl="6" w:tplc="3CFCFD3E" w:tentative="1">
      <w:start w:val="1"/>
      <w:numFmt w:val="bullet"/>
      <w:lvlText w:val="•"/>
      <w:lvlJc w:val="left"/>
      <w:pPr>
        <w:tabs>
          <w:tab w:val="num" w:pos="5040"/>
        </w:tabs>
        <w:ind w:left="5040" w:hanging="360"/>
      </w:pPr>
      <w:rPr>
        <w:rFonts w:ascii="Times New Roman" w:hAnsi="Times New Roman" w:hint="default"/>
      </w:rPr>
    </w:lvl>
    <w:lvl w:ilvl="7" w:tplc="C73AAAF4" w:tentative="1">
      <w:start w:val="1"/>
      <w:numFmt w:val="bullet"/>
      <w:lvlText w:val="•"/>
      <w:lvlJc w:val="left"/>
      <w:pPr>
        <w:tabs>
          <w:tab w:val="num" w:pos="5760"/>
        </w:tabs>
        <w:ind w:left="5760" w:hanging="360"/>
      </w:pPr>
      <w:rPr>
        <w:rFonts w:ascii="Times New Roman" w:hAnsi="Times New Roman" w:hint="default"/>
      </w:rPr>
    </w:lvl>
    <w:lvl w:ilvl="8" w:tplc="05169A4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0B163C1"/>
    <w:multiLevelType w:val="hybridMultilevel"/>
    <w:tmpl w:val="617AFE4A"/>
    <w:lvl w:ilvl="0" w:tplc="EAFE9256">
      <w:start w:val="1"/>
      <w:numFmt w:val="bullet"/>
      <w:lvlText w:val="•"/>
      <w:lvlJc w:val="left"/>
      <w:pPr>
        <w:tabs>
          <w:tab w:val="num" w:pos="720"/>
        </w:tabs>
        <w:ind w:left="720" w:hanging="360"/>
      </w:pPr>
      <w:rPr>
        <w:rFonts w:ascii="Arial" w:hAnsi="Arial" w:hint="default"/>
      </w:rPr>
    </w:lvl>
    <w:lvl w:ilvl="1" w:tplc="657A72C2" w:tentative="1">
      <w:start w:val="1"/>
      <w:numFmt w:val="bullet"/>
      <w:lvlText w:val="•"/>
      <w:lvlJc w:val="left"/>
      <w:pPr>
        <w:tabs>
          <w:tab w:val="num" w:pos="1440"/>
        </w:tabs>
        <w:ind w:left="1440" w:hanging="360"/>
      </w:pPr>
      <w:rPr>
        <w:rFonts w:ascii="Arial" w:hAnsi="Arial" w:hint="default"/>
      </w:rPr>
    </w:lvl>
    <w:lvl w:ilvl="2" w:tplc="EFC4EF24" w:tentative="1">
      <w:start w:val="1"/>
      <w:numFmt w:val="bullet"/>
      <w:lvlText w:val="•"/>
      <w:lvlJc w:val="left"/>
      <w:pPr>
        <w:tabs>
          <w:tab w:val="num" w:pos="2160"/>
        </w:tabs>
        <w:ind w:left="2160" w:hanging="360"/>
      </w:pPr>
      <w:rPr>
        <w:rFonts w:ascii="Arial" w:hAnsi="Arial" w:hint="default"/>
      </w:rPr>
    </w:lvl>
    <w:lvl w:ilvl="3" w:tplc="E7B6DE38" w:tentative="1">
      <w:start w:val="1"/>
      <w:numFmt w:val="bullet"/>
      <w:lvlText w:val="•"/>
      <w:lvlJc w:val="left"/>
      <w:pPr>
        <w:tabs>
          <w:tab w:val="num" w:pos="2880"/>
        </w:tabs>
        <w:ind w:left="2880" w:hanging="360"/>
      </w:pPr>
      <w:rPr>
        <w:rFonts w:ascii="Arial" w:hAnsi="Arial" w:hint="default"/>
      </w:rPr>
    </w:lvl>
    <w:lvl w:ilvl="4" w:tplc="CE98243C" w:tentative="1">
      <w:start w:val="1"/>
      <w:numFmt w:val="bullet"/>
      <w:lvlText w:val="•"/>
      <w:lvlJc w:val="left"/>
      <w:pPr>
        <w:tabs>
          <w:tab w:val="num" w:pos="3600"/>
        </w:tabs>
        <w:ind w:left="3600" w:hanging="360"/>
      </w:pPr>
      <w:rPr>
        <w:rFonts w:ascii="Arial" w:hAnsi="Arial" w:hint="default"/>
      </w:rPr>
    </w:lvl>
    <w:lvl w:ilvl="5" w:tplc="85E40526" w:tentative="1">
      <w:start w:val="1"/>
      <w:numFmt w:val="bullet"/>
      <w:lvlText w:val="•"/>
      <w:lvlJc w:val="left"/>
      <w:pPr>
        <w:tabs>
          <w:tab w:val="num" w:pos="4320"/>
        </w:tabs>
        <w:ind w:left="4320" w:hanging="360"/>
      </w:pPr>
      <w:rPr>
        <w:rFonts w:ascii="Arial" w:hAnsi="Arial" w:hint="default"/>
      </w:rPr>
    </w:lvl>
    <w:lvl w:ilvl="6" w:tplc="E6641006" w:tentative="1">
      <w:start w:val="1"/>
      <w:numFmt w:val="bullet"/>
      <w:lvlText w:val="•"/>
      <w:lvlJc w:val="left"/>
      <w:pPr>
        <w:tabs>
          <w:tab w:val="num" w:pos="5040"/>
        </w:tabs>
        <w:ind w:left="5040" w:hanging="360"/>
      </w:pPr>
      <w:rPr>
        <w:rFonts w:ascii="Arial" w:hAnsi="Arial" w:hint="default"/>
      </w:rPr>
    </w:lvl>
    <w:lvl w:ilvl="7" w:tplc="0F00F462" w:tentative="1">
      <w:start w:val="1"/>
      <w:numFmt w:val="bullet"/>
      <w:lvlText w:val="•"/>
      <w:lvlJc w:val="left"/>
      <w:pPr>
        <w:tabs>
          <w:tab w:val="num" w:pos="5760"/>
        </w:tabs>
        <w:ind w:left="5760" w:hanging="360"/>
      </w:pPr>
      <w:rPr>
        <w:rFonts w:ascii="Arial" w:hAnsi="Arial" w:hint="default"/>
      </w:rPr>
    </w:lvl>
    <w:lvl w:ilvl="8" w:tplc="F0F8DAE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FCF4F50"/>
    <w:multiLevelType w:val="hybridMultilevel"/>
    <w:tmpl w:val="058AC34E"/>
    <w:lvl w:ilvl="0" w:tplc="0F243EB0">
      <w:start w:val="1"/>
      <w:numFmt w:val="bullet"/>
      <w:lvlText w:val="•"/>
      <w:lvlJc w:val="left"/>
      <w:pPr>
        <w:tabs>
          <w:tab w:val="num" w:pos="720"/>
        </w:tabs>
        <w:ind w:left="720" w:hanging="360"/>
      </w:pPr>
      <w:rPr>
        <w:rFonts w:ascii="Arial" w:hAnsi="Arial" w:hint="default"/>
      </w:rPr>
    </w:lvl>
    <w:lvl w:ilvl="1" w:tplc="4E184DA0" w:tentative="1">
      <w:start w:val="1"/>
      <w:numFmt w:val="bullet"/>
      <w:lvlText w:val="•"/>
      <w:lvlJc w:val="left"/>
      <w:pPr>
        <w:tabs>
          <w:tab w:val="num" w:pos="1440"/>
        </w:tabs>
        <w:ind w:left="1440" w:hanging="360"/>
      </w:pPr>
      <w:rPr>
        <w:rFonts w:ascii="Arial" w:hAnsi="Arial" w:hint="default"/>
      </w:rPr>
    </w:lvl>
    <w:lvl w:ilvl="2" w:tplc="58A08236" w:tentative="1">
      <w:start w:val="1"/>
      <w:numFmt w:val="bullet"/>
      <w:lvlText w:val="•"/>
      <w:lvlJc w:val="left"/>
      <w:pPr>
        <w:tabs>
          <w:tab w:val="num" w:pos="2160"/>
        </w:tabs>
        <w:ind w:left="2160" w:hanging="360"/>
      </w:pPr>
      <w:rPr>
        <w:rFonts w:ascii="Arial" w:hAnsi="Arial" w:hint="default"/>
      </w:rPr>
    </w:lvl>
    <w:lvl w:ilvl="3" w:tplc="DC1A5078" w:tentative="1">
      <w:start w:val="1"/>
      <w:numFmt w:val="bullet"/>
      <w:lvlText w:val="•"/>
      <w:lvlJc w:val="left"/>
      <w:pPr>
        <w:tabs>
          <w:tab w:val="num" w:pos="2880"/>
        </w:tabs>
        <w:ind w:left="2880" w:hanging="360"/>
      </w:pPr>
      <w:rPr>
        <w:rFonts w:ascii="Arial" w:hAnsi="Arial" w:hint="default"/>
      </w:rPr>
    </w:lvl>
    <w:lvl w:ilvl="4" w:tplc="5E3C829E" w:tentative="1">
      <w:start w:val="1"/>
      <w:numFmt w:val="bullet"/>
      <w:lvlText w:val="•"/>
      <w:lvlJc w:val="left"/>
      <w:pPr>
        <w:tabs>
          <w:tab w:val="num" w:pos="3600"/>
        </w:tabs>
        <w:ind w:left="3600" w:hanging="360"/>
      </w:pPr>
      <w:rPr>
        <w:rFonts w:ascii="Arial" w:hAnsi="Arial" w:hint="default"/>
      </w:rPr>
    </w:lvl>
    <w:lvl w:ilvl="5" w:tplc="74A431F4" w:tentative="1">
      <w:start w:val="1"/>
      <w:numFmt w:val="bullet"/>
      <w:lvlText w:val="•"/>
      <w:lvlJc w:val="left"/>
      <w:pPr>
        <w:tabs>
          <w:tab w:val="num" w:pos="4320"/>
        </w:tabs>
        <w:ind w:left="4320" w:hanging="360"/>
      </w:pPr>
      <w:rPr>
        <w:rFonts w:ascii="Arial" w:hAnsi="Arial" w:hint="default"/>
      </w:rPr>
    </w:lvl>
    <w:lvl w:ilvl="6" w:tplc="BFDE2C2A" w:tentative="1">
      <w:start w:val="1"/>
      <w:numFmt w:val="bullet"/>
      <w:lvlText w:val="•"/>
      <w:lvlJc w:val="left"/>
      <w:pPr>
        <w:tabs>
          <w:tab w:val="num" w:pos="5040"/>
        </w:tabs>
        <w:ind w:left="5040" w:hanging="360"/>
      </w:pPr>
      <w:rPr>
        <w:rFonts w:ascii="Arial" w:hAnsi="Arial" w:hint="default"/>
      </w:rPr>
    </w:lvl>
    <w:lvl w:ilvl="7" w:tplc="9E2435C2" w:tentative="1">
      <w:start w:val="1"/>
      <w:numFmt w:val="bullet"/>
      <w:lvlText w:val="•"/>
      <w:lvlJc w:val="left"/>
      <w:pPr>
        <w:tabs>
          <w:tab w:val="num" w:pos="5760"/>
        </w:tabs>
        <w:ind w:left="5760" w:hanging="360"/>
      </w:pPr>
      <w:rPr>
        <w:rFonts w:ascii="Arial" w:hAnsi="Arial" w:hint="default"/>
      </w:rPr>
    </w:lvl>
    <w:lvl w:ilvl="8" w:tplc="CEE6F52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0573A2E"/>
    <w:multiLevelType w:val="hybridMultilevel"/>
    <w:tmpl w:val="7068A01C"/>
    <w:lvl w:ilvl="0" w:tplc="F3E6417C">
      <w:start w:val="1"/>
      <w:numFmt w:val="bullet"/>
      <w:lvlText w:val="•"/>
      <w:lvlJc w:val="left"/>
      <w:pPr>
        <w:tabs>
          <w:tab w:val="num" w:pos="720"/>
        </w:tabs>
        <w:ind w:left="720" w:hanging="360"/>
      </w:pPr>
      <w:rPr>
        <w:rFonts w:ascii="Times New Roman" w:hAnsi="Times New Roman" w:hint="default"/>
      </w:rPr>
    </w:lvl>
    <w:lvl w:ilvl="1" w:tplc="8A848B9C" w:tentative="1">
      <w:start w:val="1"/>
      <w:numFmt w:val="bullet"/>
      <w:lvlText w:val="•"/>
      <w:lvlJc w:val="left"/>
      <w:pPr>
        <w:tabs>
          <w:tab w:val="num" w:pos="1440"/>
        </w:tabs>
        <w:ind w:left="1440" w:hanging="360"/>
      </w:pPr>
      <w:rPr>
        <w:rFonts w:ascii="Times New Roman" w:hAnsi="Times New Roman" w:hint="default"/>
      </w:rPr>
    </w:lvl>
    <w:lvl w:ilvl="2" w:tplc="658C3B64" w:tentative="1">
      <w:start w:val="1"/>
      <w:numFmt w:val="bullet"/>
      <w:lvlText w:val="•"/>
      <w:lvlJc w:val="left"/>
      <w:pPr>
        <w:tabs>
          <w:tab w:val="num" w:pos="2160"/>
        </w:tabs>
        <w:ind w:left="2160" w:hanging="360"/>
      </w:pPr>
      <w:rPr>
        <w:rFonts w:ascii="Times New Roman" w:hAnsi="Times New Roman" w:hint="default"/>
      </w:rPr>
    </w:lvl>
    <w:lvl w:ilvl="3" w:tplc="D81C698A" w:tentative="1">
      <w:start w:val="1"/>
      <w:numFmt w:val="bullet"/>
      <w:lvlText w:val="•"/>
      <w:lvlJc w:val="left"/>
      <w:pPr>
        <w:tabs>
          <w:tab w:val="num" w:pos="2880"/>
        </w:tabs>
        <w:ind w:left="2880" w:hanging="360"/>
      </w:pPr>
      <w:rPr>
        <w:rFonts w:ascii="Times New Roman" w:hAnsi="Times New Roman" w:hint="default"/>
      </w:rPr>
    </w:lvl>
    <w:lvl w:ilvl="4" w:tplc="6BB6BDD2" w:tentative="1">
      <w:start w:val="1"/>
      <w:numFmt w:val="bullet"/>
      <w:lvlText w:val="•"/>
      <w:lvlJc w:val="left"/>
      <w:pPr>
        <w:tabs>
          <w:tab w:val="num" w:pos="3600"/>
        </w:tabs>
        <w:ind w:left="3600" w:hanging="360"/>
      </w:pPr>
      <w:rPr>
        <w:rFonts w:ascii="Times New Roman" w:hAnsi="Times New Roman" w:hint="default"/>
      </w:rPr>
    </w:lvl>
    <w:lvl w:ilvl="5" w:tplc="DBA00A1E" w:tentative="1">
      <w:start w:val="1"/>
      <w:numFmt w:val="bullet"/>
      <w:lvlText w:val="•"/>
      <w:lvlJc w:val="left"/>
      <w:pPr>
        <w:tabs>
          <w:tab w:val="num" w:pos="4320"/>
        </w:tabs>
        <w:ind w:left="4320" w:hanging="360"/>
      </w:pPr>
      <w:rPr>
        <w:rFonts w:ascii="Times New Roman" w:hAnsi="Times New Roman" w:hint="default"/>
      </w:rPr>
    </w:lvl>
    <w:lvl w:ilvl="6" w:tplc="A24845E8" w:tentative="1">
      <w:start w:val="1"/>
      <w:numFmt w:val="bullet"/>
      <w:lvlText w:val="•"/>
      <w:lvlJc w:val="left"/>
      <w:pPr>
        <w:tabs>
          <w:tab w:val="num" w:pos="5040"/>
        </w:tabs>
        <w:ind w:left="5040" w:hanging="360"/>
      </w:pPr>
      <w:rPr>
        <w:rFonts w:ascii="Times New Roman" w:hAnsi="Times New Roman" w:hint="default"/>
      </w:rPr>
    </w:lvl>
    <w:lvl w:ilvl="7" w:tplc="31C4A630" w:tentative="1">
      <w:start w:val="1"/>
      <w:numFmt w:val="bullet"/>
      <w:lvlText w:val="•"/>
      <w:lvlJc w:val="left"/>
      <w:pPr>
        <w:tabs>
          <w:tab w:val="num" w:pos="5760"/>
        </w:tabs>
        <w:ind w:left="5760" w:hanging="360"/>
      </w:pPr>
      <w:rPr>
        <w:rFonts w:ascii="Times New Roman" w:hAnsi="Times New Roman" w:hint="default"/>
      </w:rPr>
    </w:lvl>
    <w:lvl w:ilvl="8" w:tplc="03DAFC58" w:tentative="1">
      <w:start w:val="1"/>
      <w:numFmt w:val="bullet"/>
      <w:lvlText w:val="•"/>
      <w:lvlJc w:val="left"/>
      <w:pPr>
        <w:tabs>
          <w:tab w:val="num" w:pos="6480"/>
        </w:tabs>
        <w:ind w:left="6480" w:hanging="360"/>
      </w:pPr>
      <w:rPr>
        <w:rFonts w:ascii="Times New Roman" w:hAnsi="Times New Roman" w:hint="default"/>
      </w:rPr>
    </w:lvl>
  </w:abstractNum>
  <w:num w:numId="1" w16cid:durableId="1393310726">
    <w:abstractNumId w:val="2"/>
  </w:num>
  <w:num w:numId="2" w16cid:durableId="1161503311">
    <w:abstractNumId w:val="1"/>
  </w:num>
  <w:num w:numId="3" w16cid:durableId="975453939">
    <w:abstractNumId w:val="0"/>
  </w:num>
  <w:num w:numId="4" w16cid:durableId="9415701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A6B"/>
    <w:rsid w:val="00015AE1"/>
    <w:rsid w:val="00063B86"/>
    <w:rsid w:val="00090529"/>
    <w:rsid w:val="00093D5E"/>
    <w:rsid w:val="000B19B8"/>
    <w:rsid w:val="000B278C"/>
    <w:rsid w:val="000D4ACB"/>
    <w:rsid w:val="000F534A"/>
    <w:rsid w:val="00105FB3"/>
    <w:rsid w:val="0011412B"/>
    <w:rsid w:val="001220BE"/>
    <w:rsid w:val="00127F33"/>
    <w:rsid w:val="00150F98"/>
    <w:rsid w:val="001542A7"/>
    <w:rsid w:val="00160945"/>
    <w:rsid w:val="00192BCE"/>
    <w:rsid w:val="001C169A"/>
    <w:rsid w:val="001C4A95"/>
    <w:rsid w:val="001D2719"/>
    <w:rsid w:val="001E28F2"/>
    <w:rsid w:val="001E7531"/>
    <w:rsid w:val="0021179A"/>
    <w:rsid w:val="002202FC"/>
    <w:rsid w:val="002228B2"/>
    <w:rsid w:val="00270E4B"/>
    <w:rsid w:val="00282411"/>
    <w:rsid w:val="0028357A"/>
    <w:rsid w:val="00295D53"/>
    <w:rsid w:val="002B3931"/>
    <w:rsid w:val="002B79BA"/>
    <w:rsid w:val="002D5A71"/>
    <w:rsid w:val="002E4BDB"/>
    <w:rsid w:val="002E4D7A"/>
    <w:rsid w:val="002E5CC4"/>
    <w:rsid w:val="002F32CC"/>
    <w:rsid w:val="00336354"/>
    <w:rsid w:val="00341071"/>
    <w:rsid w:val="003470B8"/>
    <w:rsid w:val="00376E53"/>
    <w:rsid w:val="003A5577"/>
    <w:rsid w:val="003A6BA1"/>
    <w:rsid w:val="003B4817"/>
    <w:rsid w:val="003C6248"/>
    <w:rsid w:val="003D400F"/>
    <w:rsid w:val="004141E6"/>
    <w:rsid w:val="00447974"/>
    <w:rsid w:val="0045640D"/>
    <w:rsid w:val="00462D51"/>
    <w:rsid w:val="004916A1"/>
    <w:rsid w:val="004C0F0A"/>
    <w:rsid w:val="004C4D6E"/>
    <w:rsid w:val="004F0D77"/>
    <w:rsid w:val="0051009E"/>
    <w:rsid w:val="00517A47"/>
    <w:rsid w:val="00522FFF"/>
    <w:rsid w:val="005274A3"/>
    <w:rsid w:val="00540F14"/>
    <w:rsid w:val="00541D67"/>
    <w:rsid w:val="00547219"/>
    <w:rsid w:val="005665ED"/>
    <w:rsid w:val="00583AC4"/>
    <w:rsid w:val="005A5222"/>
    <w:rsid w:val="005B36A5"/>
    <w:rsid w:val="005B4599"/>
    <w:rsid w:val="005B59DB"/>
    <w:rsid w:val="005E7EA1"/>
    <w:rsid w:val="0061318B"/>
    <w:rsid w:val="00657713"/>
    <w:rsid w:val="0066036E"/>
    <w:rsid w:val="00670058"/>
    <w:rsid w:val="00671235"/>
    <w:rsid w:val="00690320"/>
    <w:rsid w:val="006A25AF"/>
    <w:rsid w:val="006B1966"/>
    <w:rsid w:val="006B33A2"/>
    <w:rsid w:val="006C47F5"/>
    <w:rsid w:val="006D2CC6"/>
    <w:rsid w:val="006E7666"/>
    <w:rsid w:val="0070339F"/>
    <w:rsid w:val="00707DB1"/>
    <w:rsid w:val="007142D4"/>
    <w:rsid w:val="00781E79"/>
    <w:rsid w:val="00792104"/>
    <w:rsid w:val="007C19B0"/>
    <w:rsid w:val="007C7A28"/>
    <w:rsid w:val="00800977"/>
    <w:rsid w:val="0082269C"/>
    <w:rsid w:val="00824147"/>
    <w:rsid w:val="008625E1"/>
    <w:rsid w:val="00863841"/>
    <w:rsid w:val="00867006"/>
    <w:rsid w:val="00881F56"/>
    <w:rsid w:val="008940E9"/>
    <w:rsid w:val="008965A1"/>
    <w:rsid w:val="008A155C"/>
    <w:rsid w:val="008C2D12"/>
    <w:rsid w:val="008C3FC4"/>
    <w:rsid w:val="008D288C"/>
    <w:rsid w:val="009011B0"/>
    <w:rsid w:val="0091554B"/>
    <w:rsid w:val="009215B5"/>
    <w:rsid w:val="00922CF9"/>
    <w:rsid w:val="00953DC3"/>
    <w:rsid w:val="0096479F"/>
    <w:rsid w:val="00965E7F"/>
    <w:rsid w:val="009673F0"/>
    <w:rsid w:val="00971330"/>
    <w:rsid w:val="009E32E3"/>
    <w:rsid w:val="00A06401"/>
    <w:rsid w:val="00A11AAF"/>
    <w:rsid w:val="00A209B4"/>
    <w:rsid w:val="00A30624"/>
    <w:rsid w:val="00A508DB"/>
    <w:rsid w:val="00A71F3E"/>
    <w:rsid w:val="00AB7EBD"/>
    <w:rsid w:val="00AE1DD5"/>
    <w:rsid w:val="00AE652A"/>
    <w:rsid w:val="00AF3185"/>
    <w:rsid w:val="00AF48E0"/>
    <w:rsid w:val="00B23EED"/>
    <w:rsid w:val="00B3426E"/>
    <w:rsid w:val="00B35E10"/>
    <w:rsid w:val="00B46497"/>
    <w:rsid w:val="00B536D3"/>
    <w:rsid w:val="00B800BF"/>
    <w:rsid w:val="00B86DD1"/>
    <w:rsid w:val="00B93787"/>
    <w:rsid w:val="00BA2635"/>
    <w:rsid w:val="00C05862"/>
    <w:rsid w:val="00C07D9F"/>
    <w:rsid w:val="00C12A04"/>
    <w:rsid w:val="00C133D7"/>
    <w:rsid w:val="00C249CC"/>
    <w:rsid w:val="00C2787C"/>
    <w:rsid w:val="00C35508"/>
    <w:rsid w:val="00C66C0F"/>
    <w:rsid w:val="00C70ADB"/>
    <w:rsid w:val="00C751C5"/>
    <w:rsid w:val="00C774E4"/>
    <w:rsid w:val="00C77A6B"/>
    <w:rsid w:val="00CB16E8"/>
    <w:rsid w:val="00CD6A98"/>
    <w:rsid w:val="00CF092A"/>
    <w:rsid w:val="00CF7AC2"/>
    <w:rsid w:val="00D210C4"/>
    <w:rsid w:val="00D229C9"/>
    <w:rsid w:val="00D22E8A"/>
    <w:rsid w:val="00D4394A"/>
    <w:rsid w:val="00D4773D"/>
    <w:rsid w:val="00D57E47"/>
    <w:rsid w:val="00D60C68"/>
    <w:rsid w:val="00D824DC"/>
    <w:rsid w:val="00D834E0"/>
    <w:rsid w:val="00D8396F"/>
    <w:rsid w:val="00DB2174"/>
    <w:rsid w:val="00DB7E79"/>
    <w:rsid w:val="00DD344A"/>
    <w:rsid w:val="00DD45C7"/>
    <w:rsid w:val="00DF155A"/>
    <w:rsid w:val="00DF4C45"/>
    <w:rsid w:val="00E0083C"/>
    <w:rsid w:val="00E03F84"/>
    <w:rsid w:val="00E0691C"/>
    <w:rsid w:val="00E14576"/>
    <w:rsid w:val="00E419E0"/>
    <w:rsid w:val="00E4613A"/>
    <w:rsid w:val="00E46916"/>
    <w:rsid w:val="00E51BD2"/>
    <w:rsid w:val="00E633A7"/>
    <w:rsid w:val="00E64B56"/>
    <w:rsid w:val="00E81656"/>
    <w:rsid w:val="00E90073"/>
    <w:rsid w:val="00ED10EF"/>
    <w:rsid w:val="00EF2A47"/>
    <w:rsid w:val="00EF3B0B"/>
    <w:rsid w:val="00EF4658"/>
    <w:rsid w:val="00F2529F"/>
    <w:rsid w:val="00F32956"/>
    <w:rsid w:val="00F3337D"/>
    <w:rsid w:val="00F62971"/>
    <w:rsid w:val="00F83323"/>
    <w:rsid w:val="00FA4343"/>
    <w:rsid w:val="00FC3B43"/>
    <w:rsid w:val="00FD1079"/>
    <w:rsid w:val="00FD1C0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073712"/>
  <w15:chartTrackingRefBased/>
  <w15:docId w15:val="{CE8559DA-0069-45C5-AF59-63F4609C6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462D51"/>
    <w:pPr>
      <w:spacing w:before="100" w:beforeAutospacing="1" w:after="100" w:afterAutospacing="1" w:line="240" w:lineRule="auto"/>
      <w:outlineLvl w:val="4"/>
    </w:pPr>
    <w:rPr>
      <w:rFonts w:ascii="Times New Roman" w:eastAsia="Times New Roman" w:hAnsi="Times New Roman" w:cs="Times New Roman"/>
      <w:b/>
      <w:bCs/>
      <w:kern w:val="0"/>
      <w:sz w:val="20"/>
      <w:szCs w:val="20"/>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401"/>
    <w:pPr>
      <w:spacing w:after="0" w:line="240" w:lineRule="auto"/>
      <w:ind w:left="720"/>
      <w:contextualSpacing/>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unhideWhenUsed/>
    <w:rsid w:val="00A209B4"/>
    <w:rPr>
      <w:color w:val="0563C1" w:themeColor="hyperlink"/>
      <w:u w:val="single"/>
    </w:rPr>
  </w:style>
  <w:style w:type="character" w:styleId="UnresolvedMention">
    <w:name w:val="Unresolved Mention"/>
    <w:basedOn w:val="DefaultParagraphFont"/>
    <w:uiPriority w:val="99"/>
    <w:semiHidden/>
    <w:unhideWhenUsed/>
    <w:rsid w:val="00A209B4"/>
    <w:rPr>
      <w:color w:val="605E5C"/>
      <w:shd w:val="clear" w:color="auto" w:fill="E1DFDD"/>
    </w:rPr>
  </w:style>
  <w:style w:type="character" w:styleId="CommentReference">
    <w:name w:val="annotation reference"/>
    <w:basedOn w:val="DefaultParagraphFont"/>
    <w:uiPriority w:val="99"/>
    <w:semiHidden/>
    <w:unhideWhenUsed/>
    <w:rsid w:val="0082269C"/>
    <w:rPr>
      <w:sz w:val="16"/>
      <w:szCs w:val="16"/>
    </w:rPr>
  </w:style>
  <w:style w:type="paragraph" w:styleId="CommentText">
    <w:name w:val="annotation text"/>
    <w:basedOn w:val="Normal"/>
    <w:link w:val="CommentTextChar"/>
    <w:uiPriority w:val="99"/>
    <w:unhideWhenUsed/>
    <w:rsid w:val="0082269C"/>
    <w:pPr>
      <w:spacing w:after="120"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82269C"/>
    <w:rPr>
      <w:rFonts w:eastAsiaTheme="minorEastAsia"/>
      <w:kern w:val="0"/>
      <w:sz w:val="20"/>
      <w:szCs w:val="20"/>
      <w14:ligatures w14:val="none"/>
    </w:rPr>
  </w:style>
  <w:style w:type="character" w:customStyle="1" w:styleId="normaltextrun">
    <w:name w:val="normaltextrun"/>
    <w:basedOn w:val="DefaultParagraphFont"/>
    <w:rsid w:val="00C12A04"/>
  </w:style>
  <w:style w:type="character" w:customStyle="1" w:styleId="Heading5Char">
    <w:name w:val="Heading 5 Char"/>
    <w:basedOn w:val="DefaultParagraphFont"/>
    <w:link w:val="Heading5"/>
    <w:uiPriority w:val="9"/>
    <w:rsid w:val="00462D51"/>
    <w:rPr>
      <w:rFonts w:ascii="Times New Roman" w:eastAsia="Times New Roman" w:hAnsi="Times New Roman" w:cs="Times New Roman"/>
      <w:b/>
      <w:bCs/>
      <w:kern w:val="0"/>
      <w:sz w:val="20"/>
      <w:szCs w:val="20"/>
      <w:lang w:eastAsia="en-GB"/>
      <w14:ligatures w14:val="none"/>
    </w:rPr>
  </w:style>
  <w:style w:type="paragraph" w:styleId="NormalWeb">
    <w:name w:val="Normal (Web)"/>
    <w:basedOn w:val="Normal"/>
    <w:uiPriority w:val="99"/>
    <w:semiHidden/>
    <w:unhideWhenUsed/>
    <w:rsid w:val="00462D5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FollowedHyperlink">
    <w:name w:val="FollowedHyperlink"/>
    <w:basedOn w:val="DefaultParagraphFont"/>
    <w:uiPriority w:val="99"/>
    <w:semiHidden/>
    <w:unhideWhenUsed/>
    <w:rsid w:val="00E900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6160">
      <w:bodyDiv w:val="1"/>
      <w:marLeft w:val="0"/>
      <w:marRight w:val="0"/>
      <w:marTop w:val="0"/>
      <w:marBottom w:val="0"/>
      <w:divBdr>
        <w:top w:val="none" w:sz="0" w:space="0" w:color="auto"/>
        <w:left w:val="none" w:sz="0" w:space="0" w:color="auto"/>
        <w:bottom w:val="none" w:sz="0" w:space="0" w:color="auto"/>
        <w:right w:val="none" w:sz="0" w:space="0" w:color="auto"/>
      </w:divBdr>
      <w:divsChild>
        <w:div w:id="411590212">
          <w:marLeft w:val="360"/>
          <w:marRight w:val="0"/>
          <w:marTop w:val="200"/>
          <w:marBottom w:val="0"/>
          <w:divBdr>
            <w:top w:val="none" w:sz="0" w:space="0" w:color="auto"/>
            <w:left w:val="none" w:sz="0" w:space="0" w:color="auto"/>
            <w:bottom w:val="none" w:sz="0" w:space="0" w:color="auto"/>
            <w:right w:val="none" w:sz="0" w:space="0" w:color="auto"/>
          </w:divBdr>
        </w:div>
      </w:divsChild>
    </w:div>
    <w:div w:id="430783579">
      <w:bodyDiv w:val="1"/>
      <w:marLeft w:val="0"/>
      <w:marRight w:val="0"/>
      <w:marTop w:val="0"/>
      <w:marBottom w:val="0"/>
      <w:divBdr>
        <w:top w:val="none" w:sz="0" w:space="0" w:color="auto"/>
        <w:left w:val="none" w:sz="0" w:space="0" w:color="auto"/>
        <w:bottom w:val="none" w:sz="0" w:space="0" w:color="auto"/>
        <w:right w:val="none" w:sz="0" w:space="0" w:color="auto"/>
      </w:divBdr>
      <w:divsChild>
        <w:div w:id="1234393912">
          <w:marLeft w:val="547"/>
          <w:marRight w:val="0"/>
          <w:marTop w:val="0"/>
          <w:marBottom w:val="0"/>
          <w:divBdr>
            <w:top w:val="none" w:sz="0" w:space="0" w:color="auto"/>
            <w:left w:val="none" w:sz="0" w:space="0" w:color="auto"/>
            <w:bottom w:val="none" w:sz="0" w:space="0" w:color="auto"/>
            <w:right w:val="none" w:sz="0" w:space="0" w:color="auto"/>
          </w:divBdr>
        </w:div>
        <w:div w:id="779882779">
          <w:marLeft w:val="547"/>
          <w:marRight w:val="0"/>
          <w:marTop w:val="0"/>
          <w:marBottom w:val="0"/>
          <w:divBdr>
            <w:top w:val="none" w:sz="0" w:space="0" w:color="auto"/>
            <w:left w:val="none" w:sz="0" w:space="0" w:color="auto"/>
            <w:bottom w:val="none" w:sz="0" w:space="0" w:color="auto"/>
            <w:right w:val="none" w:sz="0" w:space="0" w:color="auto"/>
          </w:divBdr>
        </w:div>
        <w:div w:id="1816678625">
          <w:marLeft w:val="547"/>
          <w:marRight w:val="0"/>
          <w:marTop w:val="0"/>
          <w:marBottom w:val="0"/>
          <w:divBdr>
            <w:top w:val="none" w:sz="0" w:space="0" w:color="auto"/>
            <w:left w:val="none" w:sz="0" w:space="0" w:color="auto"/>
            <w:bottom w:val="none" w:sz="0" w:space="0" w:color="auto"/>
            <w:right w:val="none" w:sz="0" w:space="0" w:color="auto"/>
          </w:divBdr>
        </w:div>
        <w:div w:id="636180320">
          <w:marLeft w:val="547"/>
          <w:marRight w:val="0"/>
          <w:marTop w:val="0"/>
          <w:marBottom w:val="0"/>
          <w:divBdr>
            <w:top w:val="none" w:sz="0" w:space="0" w:color="auto"/>
            <w:left w:val="none" w:sz="0" w:space="0" w:color="auto"/>
            <w:bottom w:val="none" w:sz="0" w:space="0" w:color="auto"/>
            <w:right w:val="none" w:sz="0" w:space="0" w:color="auto"/>
          </w:divBdr>
        </w:div>
      </w:divsChild>
    </w:div>
    <w:div w:id="505366862">
      <w:bodyDiv w:val="1"/>
      <w:marLeft w:val="0"/>
      <w:marRight w:val="0"/>
      <w:marTop w:val="0"/>
      <w:marBottom w:val="0"/>
      <w:divBdr>
        <w:top w:val="none" w:sz="0" w:space="0" w:color="auto"/>
        <w:left w:val="none" w:sz="0" w:space="0" w:color="auto"/>
        <w:bottom w:val="none" w:sz="0" w:space="0" w:color="auto"/>
        <w:right w:val="none" w:sz="0" w:space="0" w:color="auto"/>
      </w:divBdr>
      <w:divsChild>
        <w:div w:id="725105582">
          <w:marLeft w:val="360"/>
          <w:marRight w:val="0"/>
          <w:marTop w:val="200"/>
          <w:marBottom w:val="0"/>
          <w:divBdr>
            <w:top w:val="none" w:sz="0" w:space="0" w:color="auto"/>
            <w:left w:val="none" w:sz="0" w:space="0" w:color="auto"/>
            <w:bottom w:val="none" w:sz="0" w:space="0" w:color="auto"/>
            <w:right w:val="none" w:sz="0" w:space="0" w:color="auto"/>
          </w:divBdr>
        </w:div>
      </w:divsChild>
    </w:div>
    <w:div w:id="509952740">
      <w:bodyDiv w:val="1"/>
      <w:marLeft w:val="0"/>
      <w:marRight w:val="0"/>
      <w:marTop w:val="0"/>
      <w:marBottom w:val="0"/>
      <w:divBdr>
        <w:top w:val="none" w:sz="0" w:space="0" w:color="auto"/>
        <w:left w:val="none" w:sz="0" w:space="0" w:color="auto"/>
        <w:bottom w:val="none" w:sz="0" w:space="0" w:color="auto"/>
        <w:right w:val="none" w:sz="0" w:space="0" w:color="auto"/>
      </w:divBdr>
      <w:divsChild>
        <w:div w:id="1452162131">
          <w:marLeft w:val="547"/>
          <w:marRight w:val="0"/>
          <w:marTop w:val="0"/>
          <w:marBottom w:val="0"/>
          <w:divBdr>
            <w:top w:val="none" w:sz="0" w:space="0" w:color="auto"/>
            <w:left w:val="none" w:sz="0" w:space="0" w:color="auto"/>
            <w:bottom w:val="none" w:sz="0" w:space="0" w:color="auto"/>
            <w:right w:val="none" w:sz="0" w:space="0" w:color="auto"/>
          </w:divBdr>
        </w:div>
        <w:div w:id="1208031525">
          <w:marLeft w:val="547"/>
          <w:marRight w:val="0"/>
          <w:marTop w:val="0"/>
          <w:marBottom w:val="0"/>
          <w:divBdr>
            <w:top w:val="none" w:sz="0" w:space="0" w:color="auto"/>
            <w:left w:val="none" w:sz="0" w:space="0" w:color="auto"/>
            <w:bottom w:val="none" w:sz="0" w:space="0" w:color="auto"/>
            <w:right w:val="none" w:sz="0" w:space="0" w:color="auto"/>
          </w:divBdr>
        </w:div>
        <w:div w:id="726493448">
          <w:marLeft w:val="547"/>
          <w:marRight w:val="0"/>
          <w:marTop w:val="0"/>
          <w:marBottom w:val="0"/>
          <w:divBdr>
            <w:top w:val="none" w:sz="0" w:space="0" w:color="auto"/>
            <w:left w:val="none" w:sz="0" w:space="0" w:color="auto"/>
            <w:bottom w:val="none" w:sz="0" w:space="0" w:color="auto"/>
            <w:right w:val="none" w:sz="0" w:space="0" w:color="auto"/>
          </w:divBdr>
        </w:div>
        <w:div w:id="1889490799">
          <w:marLeft w:val="547"/>
          <w:marRight w:val="0"/>
          <w:marTop w:val="0"/>
          <w:marBottom w:val="0"/>
          <w:divBdr>
            <w:top w:val="none" w:sz="0" w:space="0" w:color="auto"/>
            <w:left w:val="none" w:sz="0" w:space="0" w:color="auto"/>
            <w:bottom w:val="none" w:sz="0" w:space="0" w:color="auto"/>
            <w:right w:val="none" w:sz="0" w:space="0" w:color="auto"/>
          </w:divBdr>
        </w:div>
        <w:div w:id="1450275130">
          <w:marLeft w:val="547"/>
          <w:marRight w:val="0"/>
          <w:marTop w:val="0"/>
          <w:marBottom w:val="0"/>
          <w:divBdr>
            <w:top w:val="none" w:sz="0" w:space="0" w:color="auto"/>
            <w:left w:val="none" w:sz="0" w:space="0" w:color="auto"/>
            <w:bottom w:val="none" w:sz="0" w:space="0" w:color="auto"/>
            <w:right w:val="none" w:sz="0" w:space="0" w:color="auto"/>
          </w:divBdr>
        </w:div>
        <w:div w:id="2129549152">
          <w:marLeft w:val="547"/>
          <w:marRight w:val="0"/>
          <w:marTop w:val="0"/>
          <w:marBottom w:val="0"/>
          <w:divBdr>
            <w:top w:val="none" w:sz="0" w:space="0" w:color="auto"/>
            <w:left w:val="none" w:sz="0" w:space="0" w:color="auto"/>
            <w:bottom w:val="none" w:sz="0" w:space="0" w:color="auto"/>
            <w:right w:val="none" w:sz="0" w:space="0" w:color="auto"/>
          </w:divBdr>
        </w:div>
      </w:divsChild>
    </w:div>
    <w:div w:id="652179991">
      <w:bodyDiv w:val="1"/>
      <w:marLeft w:val="0"/>
      <w:marRight w:val="0"/>
      <w:marTop w:val="0"/>
      <w:marBottom w:val="0"/>
      <w:divBdr>
        <w:top w:val="none" w:sz="0" w:space="0" w:color="auto"/>
        <w:left w:val="none" w:sz="0" w:space="0" w:color="auto"/>
        <w:bottom w:val="none" w:sz="0" w:space="0" w:color="auto"/>
        <w:right w:val="none" w:sz="0" w:space="0" w:color="auto"/>
      </w:divBdr>
    </w:div>
    <w:div w:id="991644260">
      <w:bodyDiv w:val="1"/>
      <w:marLeft w:val="0"/>
      <w:marRight w:val="0"/>
      <w:marTop w:val="0"/>
      <w:marBottom w:val="0"/>
      <w:divBdr>
        <w:top w:val="none" w:sz="0" w:space="0" w:color="auto"/>
        <w:left w:val="none" w:sz="0" w:space="0" w:color="auto"/>
        <w:bottom w:val="none" w:sz="0" w:space="0" w:color="auto"/>
        <w:right w:val="none" w:sz="0" w:space="0" w:color="auto"/>
      </w:divBdr>
    </w:div>
    <w:div w:id="1309674106">
      <w:bodyDiv w:val="1"/>
      <w:marLeft w:val="0"/>
      <w:marRight w:val="0"/>
      <w:marTop w:val="0"/>
      <w:marBottom w:val="0"/>
      <w:divBdr>
        <w:top w:val="none" w:sz="0" w:space="0" w:color="auto"/>
        <w:left w:val="none" w:sz="0" w:space="0" w:color="auto"/>
        <w:bottom w:val="none" w:sz="0" w:space="0" w:color="auto"/>
        <w:right w:val="none" w:sz="0" w:space="0" w:color="auto"/>
      </w:divBdr>
      <w:divsChild>
        <w:div w:id="730084287">
          <w:marLeft w:val="360"/>
          <w:marRight w:val="0"/>
          <w:marTop w:val="200"/>
          <w:marBottom w:val="0"/>
          <w:divBdr>
            <w:top w:val="none" w:sz="0" w:space="0" w:color="auto"/>
            <w:left w:val="none" w:sz="0" w:space="0" w:color="auto"/>
            <w:bottom w:val="none" w:sz="0" w:space="0" w:color="auto"/>
            <w:right w:val="none" w:sz="0" w:space="0" w:color="auto"/>
          </w:divBdr>
        </w:div>
      </w:divsChild>
    </w:div>
    <w:div w:id="1825663784">
      <w:bodyDiv w:val="1"/>
      <w:marLeft w:val="0"/>
      <w:marRight w:val="0"/>
      <w:marTop w:val="0"/>
      <w:marBottom w:val="0"/>
      <w:divBdr>
        <w:top w:val="none" w:sz="0" w:space="0" w:color="auto"/>
        <w:left w:val="none" w:sz="0" w:space="0" w:color="auto"/>
        <w:bottom w:val="none" w:sz="0" w:space="0" w:color="auto"/>
        <w:right w:val="none" w:sz="0" w:space="0" w:color="auto"/>
      </w:divBdr>
      <w:divsChild>
        <w:div w:id="146942711">
          <w:marLeft w:val="547"/>
          <w:marRight w:val="0"/>
          <w:marTop w:val="0"/>
          <w:marBottom w:val="0"/>
          <w:divBdr>
            <w:top w:val="none" w:sz="0" w:space="0" w:color="auto"/>
            <w:left w:val="none" w:sz="0" w:space="0" w:color="auto"/>
            <w:bottom w:val="none" w:sz="0" w:space="0" w:color="auto"/>
            <w:right w:val="none" w:sz="0" w:space="0" w:color="auto"/>
          </w:divBdr>
        </w:div>
        <w:div w:id="622620263">
          <w:marLeft w:val="547"/>
          <w:marRight w:val="0"/>
          <w:marTop w:val="0"/>
          <w:marBottom w:val="0"/>
          <w:divBdr>
            <w:top w:val="none" w:sz="0" w:space="0" w:color="auto"/>
            <w:left w:val="none" w:sz="0" w:space="0" w:color="auto"/>
            <w:bottom w:val="none" w:sz="0" w:space="0" w:color="auto"/>
            <w:right w:val="none" w:sz="0" w:space="0" w:color="auto"/>
          </w:divBdr>
        </w:div>
        <w:div w:id="801387623">
          <w:marLeft w:val="547"/>
          <w:marRight w:val="0"/>
          <w:marTop w:val="0"/>
          <w:marBottom w:val="0"/>
          <w:divBdr>
            <w:top w:val="none" w:sz="0" w:space="0" w:color="auto"/>
            <w:left w:val="none" w:sz="0" w:space="0" w:color="auto"/>
            <w:bottom w:val="none" w:sz="0" w:space="0" w:color="auto"/>
            <w:right w:val="none" w:sz="0" w:space="0" w:color="auto"/>
          </w:divBdr>
        </w:div>
        <w:div w:id="7125842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vance-he.ac.uk/equality-charters/athena-swan-chart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enderdata.worldbank.org/indicators/sl-tlf-cact-fm-zs?view=correlation"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genderdata.worldbank.org/countries/united-kingdom" TargetMode="External"/><Relationship Id="rId11" Type="http://schemas.openxmlformats.org/officeDocument/2006/relationships/hyperlink" Target="https://www.peoplemanagement.co.uk" TargetMode="External"/><Relationship Id="rId5" Type="http://schemas.openxmlformats.org/officeDocument/2006/relationships/hyperlink" Target="mailto:Sshahir@cardiffmet.ac.uk" TargetMode="External"/><Relationship Id="rId15" Type="http://schemas.openxmlformats.org/officeDocument/2006/relationships/customXml" Target="../customXml/item2.xml"/><Relationship Id="rId10" Type="http://schemas.openxmlformats.org/officeDocument/2006/relationships/hyperlink" Target="https://www.universitiesuk.ac.uk/latest/insights-and-analysis/higher-education-numbers" TargetMode="External"/><Relationship Id="rId4" Type="http://schemas.openxmlformats.org/officeDocument/2006/relationships/webSettings" Target="webSettings.xml"/><Relationship Id="rId9" Type="http://schemas.openxmlformats.org/officeDocument/2006/relationships/hyperlink" Target="https://www.hesa.ac.uk/news/17-01-2023/sb264-higher-education-staff-statistics"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F288D7E2E8F84C89D3007D077A1877" ma:contentTypeVersion="5" ma:contentTypeDescription="Create a new document." ma:contentTypeScope="" ma:versionID="1ec1850dcaf37619be5f04ef5e1b2408">
  <xsd:schema xmlns:xsd="http://www.w3.org/2001/XMLSchema" xmlns:xs="http://www.w3.org/2001/XMLSchema" xmlns:p="http://schemas.microsoft.com/office/2006/metadata/properties" xmlns:ns2="ae1d3e36-4e54-4e08-b425-14deb5e026c4" xmlns:ns3="8cb5e181-4ddd-4d39-a260-6b0925529c0a" targetNamespace="http://schemas.microsoft.com/office/2006/metadata/properties" ma:root="true" ma:fieldsID="ad5368254605ef2cfb173602ac75f4a0" ns2:_="" ns3:_="">
    <xsd:import namespace="ae1d3e36-4e54-4e08-b425-14deb5e026c4"/>
    <xsd:import namespace="8cb5e181-4ddd-4d39-a260-6b0925529c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1d3e36-4e54-4e08-b425-14deb5e02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b5e181-4ddd-4d39-a260-6b0925529c0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3C4DB1-2021-4B44-8B63-935C68B7C762}"/>
</file>

<file path=customXml/itemProps2.xml><?xml version="1.0" encoding="utf-8"?>
<ds:datastoreItem xmlns:ds="http://schemas.openxmlformats.org/officeDocument/2006/customXml" ds:itemID="{E026CF3C-55D1-40DA-9EDD-DE1F461114DB}"/>
</file>

<file path=customXml/itemProps3.xml><?xml version="1.0" encoding="utf-8"?>
<ds:datastoreItem xmlns:ds="http://schemas.openxmlformats.org/officeDocument/2006/customXml" ds:itemID="{560AE139-8068-43AC-81F0-948748D08876}"/>
</file>

<file path=docProps/app.xml><?xml version="1.0" encoding="utf-8"?>
<Properties xmlns="http://schemas.openxmlformats.org/officeDocument/2006/extended-properties" xmlns:vt="http://schemas.openxmlformats.org/officeDocument/2006/docPropsVTypes">
  <Template>Normal</Template>
  <TotalTime>313</TotalTime>
  <Pages>4</Pages>
  <Words>1623</Words>
  <Characters>10050</Characters>
  <Application>Microsoft Office Word</Application>
  <DocSecurity>0</DocSecurity>
  <Lines>154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Shahir, Shahira</dc:creator>
  <cp:keywords/>
  <dc:description/>
  <cp:lastModifiedBy>Shahir, Shahira</cp:lastModifiedBy>
  <cp:revision>183</cp:revision>
  <dcterms:created xsi:type="dcterms:W3CDTF">2023-12-18T11:23:00Z</dcterms:created>
  <dcterms:modified xsi:type="dcterms:W3CDTF">2023-12-20T10:09:00Z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018e5885-e89c-4102-a35c-7fe3019be157</vt:lpwstr>
  </property>
  <property fmtid="{D5CDD505-2E9C-101B-9397-08002B2CF9AE}" pid="3" name="ContentTypeId">
    <vt:lpwstr>0x01010012F288D7E2E8F84C89D3007D077A1877</vt:lpwstr>
  </property>
</Properties>
</file>