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A4666" w14:textId="5F337D87" w:rsidR="0083142E" w:rsidRPr="00340CB3" w:rsidRDefault="005A7DE2" w:rsidP="00340CB3">
      <w:pPr>
        <w:jc w:val="center"/>
        <w:rPr>
          <w:b/>
          <w:bCs/>
        </w:rPr>
      </w:pPr>
      <w:r w:rsidRPr="00340CB3">
        <w:rPr>
          <w:b/>
          <w:bCs/>
        </w:rPr>
        <w:t>Women's</w:t>
      </w:r>
      <w:r w:rsidR="0083142E" w:rsidRPr="00340CB3">
        <w:rPr>
          <w:b/>
          <w:bCs/>
        </w:rPr>
        <w:t xml:space="preserve"> Education</w:t>
      </w:r>
      <w:r w:rsidR="004C773D" w:rsidRPr="00340CB3">
        <w:rPr>
          <w:b/>
          <w:bCs/>
        </w:rPr>
        <w:t xml:space="preserve"> and </w:t>
      </w:r>
      <w:r w:rsidR="0083142E" w:rsidRPr="00340CB3">
        <w:rPr>
          <w:b/>
          <w:bCs/>
        </w:rPr>
        <w:t xml:space="preserve">Non-Farm </w:t>
      </w:r>
      <w:r w:rsidRPr="00340CB3">
        <w:rPr>
          <w:b/>
          <w:bCs/>
        </w:rPr>
        <w:t>Enterprise</w:t>
      </w:r>
      <w:r w:rsidR="004853D1">
        <w:rPr>
          <w:b/>
          <w:bCs/>
        </w:rPr>
        <w:t xml:space="preserve"> Ownership</w:t>
      </w:r>
      <w:r w:rsidR="004C773D" w:rsidRPr="00340CB3">
        <w:rPr>
          <w:b/>
          <w:bCs/>
        </w:rPr>
        <w:t xml:space="preserve">: </w:t>
      </w:r>
      <w:r w:rsidR="004853D1">
        <w:rPr>
          <w:b/>
          <w:bCs/>
        </w:rPr>
        <w:t xml:space="preserve">Poverty-Mitigating </w:t>
      </w:r>
      <w:r w:rsidR="00A64F28">
        <w:rPr>
          <w:b/>
          <w:bCs/>
        </w:rPr>
        <w:t xml:space="preserve">Role of </w:t>
      </w:r>
      <w:r w:rsidR="003F3AFD" w:rsidRPr="00340CB3">
        <w:rPr>
          <w:b/>
          <w:bCs/>
        </w:rPr>
        <w:t>Remittances</w:t>
      </w:r>
      <w:r w:rsidR="002870EC" w:rsidRPr="00340CB3">
        <w:rPr>
          <w:b/>
          <w:bCs/>
        </w:rPr>
        <w:t xml:space="preserve"> </w:t>
      </w:r>
      <w:r w:rsidR="003F3AFD" w:rsidRPr="00340CB3">
        <w:rPr>
          <w:b/>
          <w:bCs/>
        </w:rPr>
        <w:t>in Nigeria</w:t>
      </w:r>
    </w:p>
    <w:p w14:paraId="3D73E952" w14:textId="77777777" w:rsidR="00EF3DF9" w:rsidRDefault="00EF3DF9">
      <w:r>
        <w:t xml:space="preserve"> </w:t>
      </w:r>
    </w:p>
    <w:p w14:paraId="03CF51B6" w14:textId="328BEF9B" w:rsidR="00D212E9" w:rsidRPr="00340CB3" w:rsidRDefault="006A6191" w:rsidP="00340CB3">
      <w:pPr>
        <w:jc w:val="center"/>
        <w:rPr>
          <w:b/>
          <w:bCs/>
        </w:rPr>
      </w:pPr>
      <w:r w:rsidRPr="00340CB3">
        <w:rPr>
          <w:b/>
          <w:bCs/>
        </w:rPr>
        <w:t>Abstract</w:t>
      </w:r>
    </w:p>
    <w:p w14:paraId="4EFF92E6" w14:textId="77777777" w:rsidR="00340CB3" w:rsidRDefault="00340CB3" w:rsidP="00340CB3">
      <w:pPr>
        <w:jc w:val="center"/>
      </w:pPr>
    </w:p>
    <w:p w14:paraId="43DBFA15" w14:textId="77777777" w:rsidR="003F6D8C" w:rsidRDefault="003F6D8C" w:rsidP="00340CB3">
      <w:pPr>
        <w:jc w:val="center"/>
      </w:pPr>
    </w:p>
    <w:p w14:paraId="07C67B1A" w14:textId="77777777" w:rsidR="003F6D8C" w:rsidRDefault="003F6D8C" w:rsidP="00340CB3">
      <w:pPr>
        <w:jc w:val="center"/>
      </w:pPr>
    </w:p>
    <w:p w14:paraId="4FFF93CF" w14:textId="77777777" w:rsidR="003F6D8C" w:rsidRDefault="003F6D8C" w:rsidP="00340CB3">
      <w:pPr>
        <w:jc w:val="center"/>
      </w:pPr>
    </w:p>
    <w:p w14:paraId="411C0307" w14:textId="1DB53693" w:rsidR="00340CB3" w:rsidRDefault="00340CB3" w:rsidP="00340CB3">
      <w:pPr>
        <w:jc w:val="center"/>
      </w:pPr>
      <w:r>
        <w:t>Nasir Aminu* and Syed Ali Abbas*</w:t>
      </w:r>
    </w:p>
    <w:p w14:paraId="18D39871" w14:textId="77777777" w:rsidR="003F6D8C" w:rsidRDefault="003F6D8C" w:rsidP="003F6D8C"/>
    <w:p w14:paraId="793CB3D9" w14:textId="77777777" w:rsidR="003F6D8C" w:rsidRDefault="003F6D8C" w:rsidP="003F6D8C"/>
    <w:p w14:paraId="49F14958" w14:textId="77777777" w:rsidR="003F6D8C" w:rsidRDefault="003F6D8C" w:rsidP="003F6D8C"/>
    <w:p w14:paraId="79E6C603" w14:textId="77777777" w:rsidR="003F6D8C" w:rsidRDefault="003F6D8C" w:rsidP="003F6D8C"/>
    <w:p w14:paraId="401E5864" w14:textId="77777777" w:rsidR="003F6D8C" w:rsidRDefault="003F6D8C" w:rsidP="003F6D8C"/>
    <w:p w14:paraId="7B6908AE" w14:textId="77777777" w:rsidR="003F6D8C" w:rsidRDefault="003F6D8C" w:rsidP="003F6D8C"/>
    <w:p w14:paraId="2C2F9250" w14:textId="77777777" w:rsidR="003F6D8C" w:rsidRDefault="003F6D8C" w:rsidP="003F6D8C"/>
    <w:p w14:paraId="5E904CF2" w14:textId="77777777" w:rsidR="003F6D8C" w:rsidRDefault="003F6D8C" w:rsidP="003F6D8C"/>
    <w:p w14:paraId="3460802D" w14:textId="380CCFE5" w:rsidR="003F6D8C" w:rsidRDefault="003F6D8C" w:rsidP="003F6D8C">
      <w:r w:rsidRPr="003F6D8C">
        <w:rPr>
          <w:b/>
          <w:bCs/>
        </w:rPr>
        <w:t>Keywords</w:t>
      </w:r>
      <w:r>
        <w:t>: Women's Education, Non-farm Enterprise, Multi-dimensional Poverty, Remittances.</w:t>
      </w:r>
    </w:p>
    <w:p w14:paraId="752212CA" w14:textId="77777777" w:rsidR="003F6D8C" w:rsidRDefault="003F6D8C" w:rsidP="003F6D8C"/>
    <w:p w14:paraId="3737C46C" w14:textId="77777777" w:rsidR="003F6D8C" w:rsidRDefault="003F6D8C" w:rsidP="003F6D8C"/>
    <w:p w14:paraId="665F38E2" w14:textId="77777777" w:rsidR="003F6D8C" w:rsidRDefault="003F6D8C" w:rsidP="003F6D8C"/>
    <w:p w14:paraId="708F5E4E" w14:textId="77777777" w:rsidR="003F6D8C" w:rsidRDefault="003F6D8C" w:rsidP="003F6D8C"/>
    <w:p w14:paraId="7683F112" w14:textId="77777777" w:rsidR="003F6D8C" w:rsidRDefault="003F6D8C" w:rsidP="003F6D8C"/>
    <w:p w14:paraId="09C58E16" w14:textId="77777777" w:rsidR="003F6D8C" w:rsidRDefault="003F6D8C" w:rsidP="003F6D8C"/>
    <w:p w14:paraId="4983F9B4" w14:textId="77777777" w:rsidR="003F6D8C" w:rsidRDefault="003F6D8C" w:rsidP="003F6D8C"/>
    <w:p w14:paraId="4FCE970E" w14:textId="77777777" w:rsidR="003F6D8C" w:rsidRDefault="003F6D8C" w:rsidP="003F6D8C"/>
    <w:p w14:paraId="7ED2536C" w14:textId="77777777" w:rsidR="003F6D8C" w:rsidRDefault="003F6D8C" w:rsidP="003F6D8C"/>
    <w:p w14:paraId="10472202" w14:textId="77777777" w:rsidR="003F6D8C" w:rsidRDefault="003F6D8C" w:rsidP="003F6D8C"/>
    <w:p w14:paraId="0770A6AD" w14:textId="77777777" w:rsidR="003F6D8C" w:rsidRDefault="003F6D8C" w:rsidP="003F6D8C"/>
    <w:p w14:paraId="1262BAFD" w14:textId="77777777" w:rsidR="003F6D8C" w:rsidRDefault="003F6D8C" w:rsidP="003F6D8C"/>
    <w:p w14:paraId="7177326E" w14:textId="77777777" w:rsidR="003F6D8C" w:rsidRDefault="003F6D8C" w:rsidP="003F6D8C">
      <w:pPr>
        <w:pBdr>
          <w:top w:val="single" w:sz="4" w:space="1" w:color="auto"/>
        </w:pBdr>
      </w:pPr>
      <w:r>
        <w:t>* Cardiff School of Management, Cardiff Metropolitan University, Cardiff, Wales, United Kingdom.</w:t>
      </w:r>
    </w:p>
    <w:p w14:paraId="26CA56E2" w14:textId="5F15148F" w:rsidR="003F6D8C" w:rsidRPr="00F67CCA" w:rsidRDefault="003F6D8C">
      <w:pPr>
        <w:rPr>
          <w:b/>
          <w:bCs/>
        </w:rPr>
      </w:pPr>
      <w:r w:rsidRPr="00F67CCA">
        <w:rPr>
          <w:b/>
          <w:bCs/>
        </w:rPr>
        <w:lastRenderedPageBreak/>
        <w:t>Introduction</w:t>
      </w:r>
      <w:r w:rsidR="005D4CA5">
        <w:rPr>
          <w:b/>
          <w:bCs/>
        </w:rPr>
        <w:t xml:space="preserve"> and </w:t>
      </w:r>
      <w:r w:rsidR="005D4CA5" w:rsidRPr="005D4CA5">
        <w:rPr>
          <w:b/>
          <w:bCs/>
        </w:rPr>
        <w:t>Relevant background information</w:t>
      </w:r>
    </w:p>
    <w:p w14:paraId="57CB4EFF" w14:textId="02E859D1" w:rsidR="00906748" w:rsidRDefault="00217866" w:rsidP="00340CB3">
      <w:pPr>
        <w:jc w:val="both"/>
      </w:pPr>
      <w:r>
        <w:t xml:space="preserve">Remittances worldwide have </w:t>
      </w:r>
      <w:r w:rsidR="009E6E8F">
        <w:t>witnessed</w:t>
      </w:r>
      <w:r>
        <w:t xml:space="preserve"> a phenomenal increase in the last two decades</w:t>
      </w:r>
      <w:r w:rsidR="006810E3">
        <w:t xml:space="preserve">. </w:t>
      </w:r>
      <w:r w:rsidR="00B6262C">
        <w:t>Thus,</w:t>
      </w:r>
      <w:r w:rsidR="006810E3">
        <w:t xml:space="preserve"> </w:t>
      </w:r>
      <w:r>
        <w:t>the policymakers are keen to examine the developmental role of these international private flows</w:t>
      </w:r>
      <w:r w:rsidR="006810E3">
        <w:t xml:space="preserve"> particularly in developing countries. </w:t>
      </w:r>
      <w:r>
        <w:t xml:space="preserve">Nigeria, a developing country in Africa, </w:t>
      </w:r>
      <w:r w:rsidR="006810E3">
        <w:t xml:space="preserve">with a large population and thus </w:t>
      </w:r>
      <w:r w:rsidR="00B6262C">
        <w:t xml:space="preserve">potentially high </w:t>
      </w:r>
      <w:r w:rsidR="00B154A0">
        <w:t>labour</w:t>
      </w:r>
      <w:r w:rsidR="006810E3">
        <w:t xml:space="preserve"> migration, </w:t>
      </w:r>
      <w:r w:rsidR="00AF68FB">
        <w:t>stands among</w:t>
      </w:r>
      <w:r>
        <w:t xml:space="preserve"> </w:t>
      </w:r>
      <w:r w:rsidR="00C53495">
        <w:t xml:space="preserve">the </w:t>
      </w:r>
      <w:r w:rsidR="006810E3">
        <w:t>top 10</w:t>
      </w:r>
      <w:r>
        <w:t xml:space="preserve"> remittance-receiving countries</w:t>
      </w:r>
      <w:r w:rsidR="00C53495">
        <w:t xml:space="preserve">. </w:t>
      </w:r>
      <w:r w:rsidR="00DF248A">
        <w:t>Our</w:t>
      </w:r>
      <w:r w:rsidR="00D62E7C">
        <w:t xml:space="preserve"> study</w:t>
      </w:r>
      <w:r w:rsidR="00DF248A">
        <w:t xml:space="preserve"> </w:t>
      </w:r>
      <w:r w:rsidR="00D62E7C">
        <w:t>examines</w:t>
      </w:r>
      <w:r w:rsidR="00DF248A" w:rsidRPr="00DF248A">
        <w:t xml:space="preserve"> the effect of domestic and international remittances on various dimensions of</w:t>
      </w:r>
      <w:r w:rsidR="007006A9">
        <w:t xml:space="preserve"> </w:t>
      </w:r>
      <w:r w:rsidR="00DF248A" w:rsidRPr="00DF248A">
        <w:t xml:space="preserve">empowerment in Nigeria, particularly focusing on education and entrepreneurship. </w:t>
      </w:r>
      <w:r w:rsidR="0054784A">
        <w:t>Specifically, we</w:t>
      </w:r>
      <w:r w:rsidR="00DF248A" w:rsidRPr="00DF248A">
        <w:t xml:space="preserve"> seek to understand how these financial flows contribute to educational attainment and the ownership of non-farm enterprises by </w:t>
      </w:r>
      <w:r w:rsidR="00916B48">
        <w:t>vulnerable groups like women</w:t>
      </w:r>
      <w:r w:rsidR="00DF248A" w:rsidRPr="00DF248A">
        <w:t>, thereby potentially reducing multidimensional poverty across the country and its regions.</w:t>
      </w:r>
      <w:r w:rsidR="00DF248A">
        <w:t xml:space="preserve"> </w:t>
      </w:r>
      <w:r w:rsidR="008216AF" w:rsidRPr="008216AF">
        <w:t>W</w:t>
      </w:r>
      <w:r w:rsidR="00837F52">
        <w:t>e categorise w</w:t>
      </w:r>
      <w:r w:rsidR="008216AF" w:rsidRPr="008216AF">
        <w:t xml:space="preserve">omen as a vulnerable group in </w:t>
      </w:r>
      <w:r w:rsidR="00837F52">
        <w:t xml:space="preserve">Nigeria </w:t>
      </w:r>
      <w:r w:rsidR="008216AF" w:rsidRPr="008216AF">
        <w:t>due to systemic inequalities and barriers that limit their access to resources, education, economic opportunities, and decision-making power.</w:t>
      </w:r>
      <w:r w:rsidR="008216AF">
        <w:t xml:space="preserve"> </w:t>
      </w:r>
    </w:p>
    <w:p w14:paraId="7DC67A66" w14:textId="77777777" w:rsidR="005D4CA5" w:rsidRPr="005D4CA5" w:rsidRDefault="005D4CA5" w:rsidP="00340CB3">
      <w:pPr>
        <w:jc w:val="both"/>
        <w:rPr>
          <w:b/>
          <w:bCs/>
        </w:rPr>
      </w:pPr>
      <w:r w:rsidRPr="005D4CA5">
        <w:rPr>
          <w:b/>
          <w:bCs/>
        </w:rPr>
        <w:t>Research Approach</w:t>
      </w:r>
    </w:p>
    <w:p w14:paraId="65C03FDA" w14:textId="6BDB7F14" w:rsidR="00D14EED" w:rsidRDefault="00906748" w:rsidP="00340CB3">
      <w:pPr>
        <w:jc w:val="both"/>
      </w:pPr>
      <w:r>
        <w:t>Our</w:t>
      </w:r>
      <w:r w:rsidR="00C53495">
        <w:t xml:space="preserve"> study </w:t>
      </w:r>
      <w:r w:rsidR="007E64E9">
        <w:t>relie</w:t>
      </w:r>
      <w:r w:rsidR="00AC701D">
        <w:t xml:space="preserve">s </w:t>
      </w:r>
      <w:r w:rsidR="007E64E9">
        <w:t>on</w:t>
      </w:r>
      <w:r w:rsidR="00B6262C">
        <w:t xml:space="preserve"> the </w:t>
      </w:r>
      <w:r w:rsidR="00783FAD">
        <w:t xml:space="preserve">survey data </w:t>
      </w:r>
      <w:r w:rsidR="008A0CBD">
        <w:t xml:space="preserve">(based on 22,200 households) </w:t>
      </w:r>
      <w:r w:rsidR="003B211E">
        <w:t>from</w:t>
      </w:r>
      <w:r w:rsidR="00783FAD">
        <w:t xml:space="preserve"> </w:t>
      </w:r>
      <w:r w:rsidR="003B211E">
        <w:t xml:space="preserve">the </w:t>
      </w:r>
      <w:r w:rsidR="00783FAD">
        <w:t xml:space="preserve">Nigeria Living Standards Survey (2018-19) and </w:t>
      </w:r>
      <w:r w:rsidR="003B211E">
        <w:t>the Oxford Poverty and Human Development Initiative (OPHI) data</w:t>
      </w:r>
      <w:r w:rsidR="00827A8F">
        <w:t xml:space="preserve"> for </w:t>
      </w:r>
      <w:r w:rsidR="00CF750E">
        <w:t>thirty-six states</w:t>
      </w:r>
      <w:r w:rsidR="00F43282">
        <w:t xml:space="preserve">. </w:t>
      </w:r>
      <w:r w:rsidR="000558F3">
        <w:t xml:space="preserve">Our investigation </w:t>
      </w:r>
      <w:r w:rsidR="00460F66">
        <w:t xml:space="preserve">also combined these states to </w:t>
      </w:r>
      <w:r w:rsidR="004F2FBE">
        <w:t>have a regional analysis of</w:t>
      </w:r>
      <w:r w:rsidR="00CF750E">
        <w:t xml:space="preserve"> </w:t>
      </w:r>
      <w:r w:rsidR="00D51EAE">
        <w:t xml:space="preserve">the six </w:t>
      </w:r>
      <w:r w:rsidR="003A26B8">
        <w:t>geo-political zones</w:t>
      </w:r>
      <w:r w:rsidR="00CF750E">
        <w:t xml:space="preserve"> of Nigeria. Applying the econometric techniques, this study</w:t>
      </w:r>
      <w:r w:rsidR="003B211E">
        <w:t xml:space="preserve"> examine</w:t>
      </w:r>
      <w:r w:rsidR="00CF750E">
        <w:t>s</w:t>
      </w:r>
      <w:r w:rsidR="003B211E">
        <w:t xml:space="preserve"> the impact of </w:t>
      </w:r>
      <w:r w:rsidR="009E6E8F">
        <w:t xml:space="preserve">domestic and international remittances on </w:t>
      </w:r>
      <w:r w:rsidR="00CE31DD">
        <w:t>women's</w:t>
      </w:r>
      <w:r w:rsidR="00904BF1">
        <w:t xml:space="preserve"> education and </w:t>
      </w:r>
      <w:r w:rsidR="000063F9">
        <w:t>non-farm</w:t>
      </w:r>
      <w:r w:rsidR="00904BF1">
        <w:t xml:space="preserve"> </w:t>
      </w:r>
      <w:r w:rsidR="00C06CDD">
        <w:t xml:space="preserve">enterprise ownership </w:t>
      </w:r>
      <w:r w:rsidR="009D3971">
        <w:t>and other</w:t>
      </w:r>
      <w:r w:rsidR="00904BF1">
        <w:t xml:space="preserve"> </w:t>
      </w:r>
      <w:r w:rsidR="00C06CDD">
        <w:t xml:space="preserve">wide-ranging </w:t>
      </w:r>
      <w:r w:rsidR="00904BF1">
        <w:t>Multi</w:t>
      </w:r>
      <w:r w:rsidR="00CE31DD">
        <w:t>dimensional poverty features</w:t>
      </w:r>
      <w:r w:rsidR="009A65EB">
        <w:t xml:space="preserve"> at the national and regional levels</w:t>
      </w:r>
      <w:r w:rsidR="00AC701D">
        <w:t xml:space="preserve">. </w:t>
      </w:r>
    </w:p>
    <w:p w14:paraId="30CB70CF" w14:textId="0D94C60C" w:rsidR="00D14EED" w:rsidRDefault="00D14EED" w:rsidP="00340CB3">
      <w:pPr>
        <w:jc w:val="both"/>
        <w:rPr>
          <w:b/>
          <w:bCs/>
        </w:rPr>
      </w:pPr>
      <w:r w:rsidRPr="00855187">
        <w:rPr>
          <w:b/>
          <w:bCs/>
        </w:rPr>
        <w:t>Discussion</w:t>
      </w:r>
    </w:p>
    <w:p w14:paraId="6194CE66" w14:textId="24BF01AA" w:rsidR="00855187" w:rsidRPr="00855187" w:rsidRDefault="00855187" w:rsidP="00340CB3">
      <w:pPr>
        <w:jc w:val="both"/>
      </w:pPr>
      <w:r>
        <w:t>Our preliminary (national) results suggest that domestic remittances increase women’s ownership of non-farm enterprises while international remittances increase female school enrolment as well as their educational attainment both at secondary and tertiary levels.</w:t>
      </w:r>
    </w:p>
    <w:p w14:paraId="3958FE32" w14:textId="77777777" w:rsidR="00D07166" w:rsidRDefault="00D14EED" w:rsidP="00340CB3">
      <w:pPr>
        <w:jc w:val="both"/>
      </w:pPr>
      <w:r>
        <w:rPr>
          <w:noProof/>
        </w:rPr>
        <w:drawing>
          <wp:inline distT="0" distB="0" distL="0" distR="0" wp14:anchorId="54D007E3" wp14:editId="7FB3B557">
            <wp:extent cx="5160645" cy="3196590"/>
            <wp:effectExtent l="0" t="0" r="0" b="3810"/>
            <wp:docPr id="568107663" name="Picture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0645" cy="319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52A75" w14:textId="57154093" w:rsidR="00537827" w:rsidRPr="00537827" w:rsidRDefault="00537827" w:rsidP="00340CB3">
      <w:pPr>
        <w:jc w:val="both"/>
        <w:rPr>
          <w:b/>
          <w:bCs/>
        </w:rPr>
      </w:pPr>
      <w:r w:rsidRPr="00537827">
        <w:rPr>
          <w:b/>
          <w:bCs/>
        </w:rPr>
        <w:t>Conclusion</w:t>
      </w:r>
    </w:p>
    <w:p w14:paraId="4F367F43" w14:textId="6462AD09" w:rsidR="00217866" w:rsidRDefault="00906748" w:rsidP="00340CB3">
      <w:pPr>
        <w:jc w:val="both"/>
      </w:pPr>
      <w:r>
        <w:t>From o</w:t>
      </w:r>
      <w:r w:rsidR="00093FD5">
        <w:t>ur</w:t>
      </w:r>
      <w:r w:rsidR="00093FD5" w:rsidRPr="00093FD5">
        <w:t xml:space="preserve"> </w:t>
      </w:r>
      <w:r>
        <w:t xml:space="preserve">preliminary results, our </w:t>
      </w:r>
      <w:r w:rsidR="00093FD5" w:rsidRPr="00093FD5">
        <w:t xml:space="preserve">potential conclusion </w:t>
      </w:r>
      <w:r>
        <w:t>indicates</w:t>
      </w:r>
      <w:r w:rsidR="00093FD5" w:rsidRPr="00093FD5">
        <w:t xml:space="preserve"> that remittances, both domestic and international, play a significant role in empowering women in Nigeria by enhancing their educational </w:t>
      </w:r>
      <w:r w:rsidR="00093FD5" w:rsidRPr="00093FD5">
        <w:lastRenderedPageBreak/>
        <w:t>opportunities</w:t>
      </w:r>
      <w:r w:rsidR="00A66F06">
        <w:t xml:space="preserve"> and their </w:t>
      </w:r>
      <w:r w:rsidR="00FF232A">
        <w:t xml:space="preserve">children. </w:t>
      </w:r>
      <w:r w:rsidR="007750C5">
        <w:t xml:space="preserve">Remittances </w:t>
      </w:r>
      <w:r w:rsidR="00FF232A">
        <w:t>also enable</w:t>
      </w:r>
      <w:r w:rsidR="00093FD5" w:rsidRPr="00093FD5">
        <w:t xml:space="preserve"> them to own non-farm enterprises. These findings suggest that remittances </w:t>
      </w:r>
      <w:r w:rsidR="00CD01D2">
        <w:t>are</w:t>
      </w:r>
      <w:r w:rsidR="00093FD5" w:rsidRPr="00093FD5">
        <w:t xml:space="preserve"> a </w:t>
      </w:r>
      <w:r w:rsidR="00CD01D2">
        <w:t>significant</w:t>
      </w:r>
      <w:r w:rsidR="00093FD5" w:rsidRPr="00093FD5">
        <w:t xml:space="preserve"> </w:t>
      </w:r>
      <w:r w:rsidR="00CD01D2">
        <w:t>factor</w:t>
      </w:r>
      <w:r w:rsidR="00093FD5" w:rsidRPr="00093FD5">
        <w:t xml:space="preserve"> in addressing multidimensional poverty, particularly for women, and could inform policy interventions aimed at leveraging private international flows for developmental purposes in Nigeria and similar contexts</w:t>
      </w:r>
      <w:r w:rsidR="00565E13">
        <w:t xml:space="preserve"> for developing economies</w:t>
      </w:r>
      <w:r w:rsidR="00093FD5" w:rsidRPr="00093FD5">
        <w:t>.</w:t>
      </w:r>
    </w:p>
    <w:p w14:paraId="77D72DFF" w14:textId="77777777" w:rsidR="00537827" w:rsidRDefault="00537827" w:rsidP="00340CB3">
      <w:pPr>
        <w:jc w:val="both"/>
      </w:pPr>
    </w:p>
    <w:p w14:paraId="1E97F59D" w14:textId="00896CBB" w:rsidR="00537827" w:rsidRPr="00537827" w:rsidRDefault="00537827" w:rsidP="00340CB3">
      <w:pPr>
        <w:jc w:val="both"/>
        <w:rPr>
          <w:b/>
          <w:bCs/>
        </w:rPr>
      </w:pPr>
      <w:r w:rsidRPr="00537827">
        <w:rPr>
          <w:b/>
          <w:bCs/>
        </w:rPr>
        <w:t>References</w:t>
      </w:r>
    </w:p>
    <w:p w14:paraId="61C09753" w14:textId="7680F99B" w:rsidR="00C55DBC" w:rsidRDefault="0074446D" w:rsidP="00C55DBC">
      <w:pPr>
        <w:spacing w:before="240" w:after="0" w:line="240" w:lineRule="auto"/>
        <w:ind w:left="720" w:hanging="720"/>
        <w:rPr>
          <w:rFonts w:eastAsia="Georgia" w:cstheme="minorHAnsi"/>
          <w:sz w:val="24"/>
          <w:szCs w:val="24"/>
        </w:rPr>
      </w:pPr>
      <w:proofErr w:type="spellStart"/>
      <w:r w:rsidRPr="002D5B2D">
        <w:rPr>
          <w:rFonts w:eastAsia="Georgia" w:cstheme="minorHAnsi"/>
          <w:sz w:val="24"/>
          <w:szCs w:val="24"/>
        </w:rPr>
        <w:t>Alkire</w:t>
      </w:r>
      <w:proofErr w:type="spellEnd"/>
      <w:r w:rsidRPr="002D5B2D">
        <w:rPr>
          <w:rFonts w:eastAsia="Georgia" w:cstheme="minorHAnsi"/>
          <w:sz w:val="24"/>
          <w:szCs w:val="24"/>
        </w:rPr>
        <w:t xml:space="preserve">, S., Kanagaratnam, U., Nogales, R. and </w:t>
      </w:r>
      <w:proofErr w:type="spellStart"/>
      <w:r w:rsidRPr="002D5B2D">
        <w:rPr>
          <w:rFonts w:eastAsia="Georgia" w:cstheme="minorHAnsi"/>
          <w:sz w:val="24"/>
          <w:szCs w:val="24"/>
        </w:rPr>
        <w:t>Suppa</w:t>
      </w:r>
      <w:proofErr w:type="spellEnd"/>
      <w:r w:rsidRPr="002D5B2D">
        <w:rPr>
          <w:rFonts w:eastAsia="Georgia" w:cstheme="minorHAnsi"/>
          <w:sz w:val="24"/>
          <w:szCs w:val="24"/>
        </w:rPr>
        <w:t xml:space="preserve">, N. (2022) ‘Revising the global multidimensional poverty index: Empirical insights and robustness’, </w:t>
      </w:r>
      <w:proofErr w:type="spellStart"/>
      <w:proofErr w:type="gramStart"/>
      <w:r w:rsidRPr="002D5B2D">
        <w:rPr>
          <w:rFonts w:eastAsia="Georgia" w:cstheme="minorHAnsi"/>
          <w:sz w:val="24"/>
          <w:szCs w:val="24"/>
        </w:rPr>
        <w:t>doi:https</w:t>
      </w:r>
      <w:proofErr w:type="spellEnd"/>
      <w:r w:rsidRPr="002D5B2D">
        <w:rPr>
          <w:rFonts w:eastAsia="Georgia" w:cstheme="minorHAnsi"/>
          <w:sz w:val="24"/>
          <w:szCs w:val="24"/>
        </w:rPr>
        <w:t>://doi.org/10.1111/roiw.12573</w:t>
      </w:r>
      <w:proofErr w:type="gramEnd"/>
      <w:r w:rsidRPr="002D5B2D">
        <w:rPr>
          <w:rFonts w:eastAsia="Georgia" w:cstheme="minorHAnsi"/>
          <w:sz w:val="24"/>
          <w:szCs w:val="24"/>
        </w:rPr>
        <w:t>.</w:t>
      </w:r>
    </w:p>
    <w:p w14:paraId="479B102C" w14:textId="77777777" w:rsidR="00C55DBC" w:rsidRDefault="009251D8" w:rsidP="00C55DBC">
      <w:pPr>
        <w:spacing w:before="240" w:after="0" w:line="240" w:lineRule="auto"/>
        <w:ind w:left="720" w:hanging="720"/>
        <w:rPr>
          <w:rFonts w:eastAsia="Georgia" w:cstheme="minorHAnsi"/>
          <w:sz w:val="24"/>
          <w:szCs w:val="24"/>
        </w:rPr>
      </w:pPr>
      <w:r w:rsidRPr="00B57247">
        <w:t>Nigeria National Bureau of Statistics</w:t>
      </w:r>
      <w:r>
        <w:rPr>
          <w:rFonts w:ascii="Source Sans Pro" w:hAnsi="Source Sans Pro"/>
          <w:color w:val="141412"/>
          <w:shd w:val="clear" w:color="auto" w:fill="FFFFFF"/>
        </w:rPr>
        <w:t xml:space="preserve"> </w:t>
      </w:r>
      <w:r w:rsidR="00E93B6D">
        <w:rPr>
          <w:rFonts w:ascii="Source Sans Pro" w:hAnsi="Source Sans Pro"/>
          <w:color w:val="141412"/>
          <w:shd w:val="clear" w:color="auto" w:fill="FFFFFF"/>
        </w:rPr>
        <w:t>(2022). </w:t>
      </w:r>
      <w:r w:rsidR="00E93B6D">
        <w:rPr>
          <w:rStyle w:val="Emphasis"/>
          <w:rFonts w:ascii="Source Sans Pro" w:hAnsi="Source Sans Pro"/>
          <w:color w:val="141412"/>
          <w:shd w:val="clear" w:color="auto" w:fill="FFFFFF"/>
        </w:rPr>
        <w:t>Nigeria Multidimensional Poverty Index (2022)</w:t>
      </w:r>
      <w:r w:rsidR="00E93B6D">
        <w:rPr>
          <w:rFonts w:ascii="Source Sans Pro" w:hAnsi="Source Sans Pro"/>
          <w:color w:val="141412"/>
          <w:shd w:val="clear" w:color="auto" w:fill="FFFFFF"/>
        </w:rPr>
        <w:t>, National Bureau of Statistics of the Federal Republic of Nigeria, FCT Abuja.</w:t>
      </w:r>
    </w:p>
    <w:p w14:paraId="74C8DFBB" w14:textId="25018D6B" w:rsidR="00846F8A" w:rsidRPr="00C55DBC" w:rsidRDefault="00846F8A" w:rsidP="00C55DBC">
      <w:pPr>
        <w:spacing w:before="240" w:after="0" w:line="240" w:lineRule="auto"/>
        <w:ind w:left="720" w:hanging="720"/>
        <w:rPr>
          <w:rFonts w:eastAsia="Georgia" w:cstheme="minorHAnsi"/>
          <w:sz w:val="24"/>
          <w:szCs w:val="24"/>
        </w:rPr>
      </w:pPr>
      <w:r w:rsidRPr="00846F8A">
        <w:t>Nigeria National Bureau of Statistics. Nigeria - Living Standards Survey 2018-2019 [Internet]. microdata.worldbank.org. [</w:t>
      </w:r>
      <w:r w:rsidR="002A4963">
        <w:t xml:space="preserve">Accessed </w:t>
      </w:r>
      <w:proofErr w:type="gramStart"/>
      <w:r w:rsidR="002A4963">
        <w:t>August,</w:t>
      </w:r>
      <w:proofErr w:type="gramEnd"/>
      <w:r w:rsidRPr="00846F8A">
        <w:t xml:space="preserve"> 202</w:t>
      </w:r>
      <w:r>
        <w:t>3</w:t>
      </w:r>
      <w:r w:rsidRPr="00846F8A">
        <w:t>]. Available from: https://microdata.worldbank.org/index.php/catalog/3827/get-microdata.</w:t>
      </w:r>
    </w:p>
    <w:p w14:paraId="5783D091" w14:textId="77777777" w:rsidR="00340CB3" w:rsidRDefault="00340CB3"/>
    <w:sectPr w:rsidR="00340C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866"/>
    <w:rsid w:val="000063F9"/>
    <w:rsid w:val="000558F3"/>
    <w:rsid w:val="00086EF3"/>
    <w:rsid w:val="00093FD5"/>
    <w:rsid w:val="000F015A"/>
    <w:rsid w:val="00144BD6"/>
    <w:rsid w:val="001F6828"/>
    <w:rsid w:val="00217866"/>
    <w:rsid w:val="002358B2"/>
    <w:rsid w:val="00256E3B"/>
    <w:rsid w:val="002870EC"/>
    <w:rsid w:val="002A00E1"/>
    <w:rsid w:val="002A4963"/>
    <w:rsid w:val="00340CB3"/>
    <w:rsid w:val="00391AC4"/>
    <w:rsid w:val="003A26B8"/>
    <w:rsid w:val="003B211E"/>
    <w:rsid w:val="003F3AFD"/>
    <w:rsid w:val="003F6D8C"/>
    <w:rsid w:val="00414E80"/>
    <w:rsid w:val="00460F66"/>
    <w:rsid w:val="004853D1"/>
    <w:rsid w:val="004C773D"/>
    <w:rsid w:val="004F0B7A"/>
    <w:rsid w:val="004F2FBE"/>
    <w:rsid w:val="00537827"/>
    <w:rsid w:val="0054784A"/>
    <w:rsid w:val="00565E13"/>
    <w:rsid w:val="005A7DE2"/>
    <w:rsid w:val="005D4CA5"/>
    <w:rsid w:val="00625AB8"/>
    <w:rsid w:val="00655D96"/>
    <w:rsid w:val="006810E3"/>
    <w:rsid w:val="006A6191"/>
    <w:rsid w:val="006F70AB"/>
    <w:rsid w:val="007006A9"/>
    <w:rsid w:val="0074446D"/>
    <w:rsid w:val="00753551"/>
    <w:rsid w:val="007750C5"/>
    <w:rsid w:val="00783FAD"/>
    <w:rsid w:val="007A44B4"/>
    <w:rsid w:val="007D0772"/>
    <w:rsid w:val="007E64E9"/>
    <w:rsid w:val="00807BB3"/>
    <w:rsid w:val="008216AF"/>
    <w:rsid w:val="00827A8F"/>
    <w:rsid w:val="0083142E"/>
    <w:rsid w:val="00837F52"/>
    <w:rsid w:val="00846F8A"/>
    <w:rsid w:val="00855187"/>
    <w:rsid w:val="00871023"/>
    <w:rsid w:val="008A0CBD"/>
    <w:rsid w:val="008E70C7"/>
    <w:rsid w:val="00904BF1"/>
    <w:rsid w:val="00906748"/>
    <w:rsid w:val="00916B48"/>
    <w:rsid w:val="009251D8"/>
    <w:rsid w:val="00925D13"/>
    <w:rsid w:val="00931D0E"/>
    <w:rsid w:val="009A65EB"/>
    <w:rsid w:val="009D3971"/>
    <w:rsid w:val="009D67A6"/>
    <w:rsid w:val="009E6E8F"/>
    <w:rsid w:val="00A32604"/>
    <w:rsid w:val="00A64F28"/>
    <w:rsid w:val="00A66F06"/>
    <w:rsid w:val="00AC26BA"/>
    <w:rsid w:val="00AC701D"/>
    <w:rsid w:val="00AF68FB"/>
    <w:rsid w:val="00B154A0"/>
    <w:rsid w:val="00B57247"/>
    <w:rsid w:val="00B6262C"/>
    <w:rsid w:val="00C06CDD"/>
    <w:rsid w:val="00C53495"/>
    <w:rsid w:val="00C55DBC"/>
    <w:rsid w:val="00CD01D2"/>
    <w:rsid w:val="00CE31DD"/>
    <w:rsid w:val="00CF750E"/>
    <w:rsid w:val="00D07166"/>
    <w:rsid w:val="00D10D3B"/>
    <w:rsid w:val="00D14EED"/>
    <w:rsid w:val="00D212E9"/>
    <w:rsid w:val="00D415A3"/>
    <w:rsid w:val="00D51EAE"/>
    <w:rsid w:val="00D62E7C"/>
    <w:rsid w:val="00DB111A"/>
    <w:rsid w:val="00DC2F59"/>
    <w:rsid w:val="00DE333D"/>
    <w:rsid w:val="00DF248A"/>
    <w:rsid w:val="00E93B6D"/>
    <w:rsid w:val="00EC54D1"/>
    <w:rsid w:val="00EC58FB"/>
    <w:rsid w:val="00EF3DF9"/>
    <w:rsid w:val="00F43282"/>
    <w:rsid w:val="00F67CCA"/>
    <w:rsid w:val="00FF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E4B35C"/>
  <w15:chartTrackingRefBased/>
  <w15:docId w15:val="{E439E995-0740-4C95-AA79-E905D47FE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C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724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724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E93B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0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Cardiff Metropolitan University</Company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Abbas, Syed</dc:creator>
  <cp:keywords/>
  <dc:description/>
  <cp:lastModifiedBy>Aminu, Nasir</cp:lastModifiedBy>
  <cp:revision>24</cp:revision>
  <dcterms:created xsi:type="dcterms:W3CDTF">2023-12-12T14:06:00Z</dcterms:created>
  <dcterms:modified xsi:type="dcterms:W3CDTF">2023-12-12T14:43:00Z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851c9bef-0a26-4580-87ad-99278b6fc946</vt:lpwstr>
  </property>
</Properties>
</file>