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8F9B2" w14:textId="7D876862" w:rsidR="00112CD7" w:rsidRPr="003F7528" w:rsidRDefault="00206113">
      <w:pPr>
        <w:rPr>
          <w:b/>
          <w:bCs/>
          <w:sz w:val="28"/>
          <w:szCs w:val="28"/>
          <w:lang w:val="en-US"/>
        </w:rPr>
      </w:pPr>
      <w:r>
        <w:rPr>
          <w:b/>
          <w:bCs/>
          <w:sz w:val="28"/>
          <w:szCs w:val="28"/>
          <w:lang w:val="en-US"/>
        </w:rPr>
        <w:t>The Energy</w:t>
      </w:r>
      <w:r w:rsidR="00C94332">
        <w:rPr>
          <w:b/>
          <w:bCs/>
          <w:sz w:val="28"/>
          <w:szCs w:val="28"/>
          <w:lang w:val="en-US"/>
        </w:rPr>
        <w:t xml:space="preserve"> Sector</w:t>
      </w:r>
      <w:r>
        <w:rPr>
          <w:b/>
          <w:bCs/>
          <w:sz w:val="28"/>
          <w:szCs w:val="28"/>
          <w:lang w:val="en-US"/>
        </w:rPr>
        <w:t xml:space="preserve"> Cha</w:t>
      </w:r>
      <w:r w:rsidR="00C94332">
        <w:rPr>
          <w:b/>
          <w:bCs/>
          <w:sz w:val="28"/>
          <w:szCs w:val="28"/>
          <w:lang w:val="en-US"/>
        </w:rPr>
        <w:t>nging</w:t>
      </w:r>
      <w:r>
        <w:rPr>
          <w:b/>
          <w:bCs/>
          <w:sz w:val="28"/>
          <w:szCs w:val="28"/>
          <w:lang w:val="en-US"/>
        </w:rPr>
        <w:t xml:space="preserve"> Landscape: </w:t>
      </w:r>
      <w:r w:rsidR="005F72AC" w:rsidRPr="003F7528">
        <w:rPr>
          <w:b/>
          <w:bCs/>
          <w:sz w:val="28"/>
          <w:szCs w:val="28"/>
          <w:lang w:val="en-US"/>
        </w:rPr>
        <w:t>The importance of</w:t>
      </w:r>
      <w:r w:rsidR="002839C3" w:rsidRPr="003F7528">
        <w:rPr>
          <w:b/>
          <w:bCs/>
          <w:sz w:val="28"/>
          <w:szCs w:val="28"/>
          <w:lang w:val="en-US"/>
        </w:rPr>
        <w:t xml:space="preserve"> </w:t>
      </w:r>
      <w:r w:rsidR="001605A0" w:rsidRPr="003F7528">
        <w:rPr>
          <w:b/>
          <w:bCs/>
          <w:sz w:val="28"/>
          <w:szCs w:val="28"/>
          <w:lang w:val="en-US"/>
        </w:rPr>
        <w:t xml:space="preserve">understanding </w:t>
      </w:r>
      <w:r w:rsidR="002839C3" w:rsidRPr="003F7528">
        <w:rPr>
          <w:b/>
          <w:bCs/>
          <w:sz w:val="28"/>
          <w:szCs w:val="28"/>
          <w:lang w:val="en-US"/>
        </w:rPr>
        <w:t xml:space="preserve">resilience </w:t>
      </w:r>
      <w:r w:rsidR="005F72AC" w:rsidRPr="003F7528">
        <w:rPr>
          <w:b/>
          <w:bCs/>
          <w:sz w:val="28"/>
          <w:szCs w:val="28"/>
          <w:lang w:val="en-US"/>
        </w:rPr>
        <w:t>in</w:t>
      </w:r>
      <w:r w:rsidR="002839C3" w:rsidRPr="003F7528">
        <w:rPr>
          <w:b/>
          <w:bCs/>
          <w:sz w:val="28"/>
          <w:szCs w:val="28"/>
          <w:lang w:val="en-US"/>
        </w:rPr>
        <w:t xml:space="preserve"> the Marine Energy supply chain. </w:t>
      </w:r>
    </w:p>
    <w:p w14:paraId="056FD951" w14:textId="29A35225" w:rsidR="002839C3" w:rsidRDefault="001605A0">
      <w:pPr>
        <w:rPr>
          <w:lang w:val="en-US"/>
        </w:rPr>
      </w:pPr>
      <w:r>
        <w:rPr>
          <w:lang w:val="en-US"/>
        </w:rPr>
        <w:t xml:space="preserve">Mason-Jones, </w:t>
      </w:r>
      <w:proofErr w:type="spellStart"/>
      <w:r>
        <w:rPr>
          <w:lang w:val="en-US"/>
        </w:rPr>
        <w:t>R.</w:t>
      </w:r>
      <w:r w:rsidR="007208ED" w:rsidRPr="007208ED">
        <w:rPr>
          <w:vertAlign w:val="superscript"/>
          <w:lang w:val="en-US"/>
        </w:rPr>
        <w:t>a</w:t>
      </w:r>
      <w:proofErr w:type="spellEnd"/>
      <w:r w:rsidR="002839C3">
        <w:rPr>
          <w:lang w:val="en-US"/>
        </w:rPr>
        <w:t xml:space="preserve"> Reis, J</w:t>
      </w:r>
      <w:r w:rsidR="007208ED" w:rsidRPr="007208ED">
        <w:rPr>
          <w:vertAlign w:val="superscript"/>
          <w:lang w:val="en-US"/>
        </w:rPr>
        <w:t>a</w:t>
      </w:r>
      <w:r w:rsidR="002839C3">
        <w:rPr>
          <w:lang w:val="en-US"/>
        </w:rPr>
        <w:t>.,</w:t>
      </w:r>
      <w:r w:rsidR="00575EF2" w:rsidRPr="00575EF2">
        <w:rPr>
          <w:lang w:val="en-US"/>
        </w:rPr>
        <w:t xml:space="preserve"> </w:t>
      </w:r>
      <w:proofErr w:type="spellStart"/>
      <w:r w:rsidR="00575EF2">
        <w:rPr>
          <w:lang w:val="en-US"/>
        </w:rPr>
        <w:t>Khandokar</w:t>
      </w:r>
      <w:proofErr w:type="spellEnd"/>
      <w:r w:rsidR="00575EF2">
        <w:rPr>
          <w:lang w:val="en-US"/>
        </w:rPr>
        <w:t xml:space="preserve">, </w:t>
      </w:r>
      <w:proofErr w:type="gramStart"/>
      <w:r w:rsidR="00575EF2">
        <w:rPr>
          <w:lang w:val="en-US"/>
        </w:rPr>
        <w:t>F</w:t>
      </w:r>
      <w:r w:rsidR="00575EF2">
        <w:rPr>
          <w:vertAlign w:val="superscript"/>
          <w:lang w:val="en-US"/>
        </w:rPr>
        <w:t xml:space="preserve">b </w:t>
      </w:r>
      <w:r w:rsidR="002839C3">
        <w:rPr>
          <w:lang w:val="en-US"/>
        </w:rPr>
        <w:t xml:space="preserve"> Lambert</w:t>
      </w:r>
      <w:proofErr w:type="gramEnd"/>
      <w:r w:rsidR="002839C3">
        <w:rPr>
          <w:lang w:val="en-US"/>
        </w:rPr>
        <w:t xml:space="preserve">, </w:t>
      </w:r>
      <w:proofErr w:type="spellStart"/>
      <w:r w:rsidR="002839C3">
        <w:rPr>
          <w:lang w:val="en-US"/>
        </w:rPr>
        <w:t>K.</w:t>
      </w:r>
      <w:r w:rsidR="007208ED" w:rsidRPr="007208ED">
        <w:rPr>
          <w:vertAlign w:val="superscript"/>
          <w:lang w:val="en-US"/>
        </w:rPr>
        <w:t>a</w:t>
      </w:r>
      <w:proofErr w:type="spellEnd"/>
      <w:r w:rsidR="002839C3">
        <w:rPr>
          <w:lang w:val="en-US"/>
        </w:rPr>
        <w:t>, Thomas, A</w:t>
      </w:r>
      <w:r w:rsidR="00D378C3">
        <w:rPr>
          <w:vertAlign w:val="superscript"/>
          <w:lang w:val="en-US"/>
        </w:rPr>
        <w:t>c</w:t>
      </w:r>
      <w:r w:rsidR="002839C3">
        <w:rPr>
          <w:lang w:val="en-US"/>
        </w:rPr>
        <w:t xml:space="preserve">. </w:t>
      </w:r>
      <w:r>
        <w:rPr>
          <w:lang w:val="en-US"/>
        </w:rPr>
        <w:t>and Sreedharan</w:t>
      </w:r>
      <w:r w:rsidR="002839C3">
        <w:rPr>
          <w:lang w:val="en-US"/>
        </w:rPr>
        <w:t>, R</w:t>
      </w:r>
      <w:r w:rsidR="007208ED" w:rsidRPr="007208ED">
        <w:rPr>
          <w:vertAlign w:val="superscript"/>
          <w:lang w:val="en-US"/>
        </w:rPr>
        <w:t>a</w:t>
      </w:r>
      <w:r w:rsidR="00575EF2">
        <w:rPr>
          <w:lang w:val="en-US"/>
        </w:rPr>
        <w:t xml:space="preserve">, </w:t>
      </w:r>
    </w:p>
    <w:p w14:paraId="493BEA2A" w14:textId="5CCC74CF" w:rsidR="002839C3" w:rsidRDefault="002B767B" w:rsidP="002B767B">
      <w:pPr>
        <w:pStyle w:val="ListParagraph"/>
        <w:numPr>
          <w:ilvl w:val="0"/>
          <w:numId w:val="1"/>
        </w:numPr>
        <w:rPr>
          <w:lang w:val="en-US"/>
        </w:rPr>
      </w:pPr>
      <w:r>
        <w:rPr>
          <w:lang w:val="en-US"/>
        </w:rPr>
        <w:t>Cardiff Metropolitan University</w:t>
      </w:r>
    </w:p>
    <w:p w14:paraId="3EF2C9B9" w14:textId="3F61E2AF" w:rsidR="00575EF2" w:rsidRDefault="00F07438" w:rsidP="002B767B">
      <w:pPr>
        <w:pStyle w:val="ListParagraph"/>
        <w:numPr>
          <w:ilvl w:val="0"/>
          <w:numId w:val="1"/>
        </w:numPr>
        <w:rPr>
          <w:lang w:val="en-US"/>
        </w:rPr>
      </w:pPr>
      <w:r>
        <w:rPr>
          <w:lang w:val="en-US"/>
        </w:rPr>
        <w:t>University</w:t>
      </w:r>
      <w:r w:rsidR="00575EF2">
        <w:rPr>
          <w:lang w:val="en-US"/>
        </w:rPr>
        <w:t xml:space="preserve"> of South Wales</w:t>
      </w:r>
    </w:p>
    <w:p w14:paraId="0D4DA9E9" w14:textId="268CF02A" w:rsidR="002B767B" w:rsidRPr="001B216A" w:rsidRDefault="002B767B" w:rsidP="002B767B">
      <w:pPr>
        <w:pStyle w:val="ListParagraph"/>
        <w:numPr>
          <w:ilvl w:val="0"/>
          <w:numId w:val="1"/>
        </w:numPr>
        <w:rPr>
          <w:rFonts w:cstheme="minorHAnsi"/>
          <w:lang w:val="en-US"/>
        </w:rPr>
      </w:pPr>
      <w:r w:rsidRPr="001B216A">
        <w:rPr>
          <w:rFonts w:cstheme="minorHAnsi"/>
          <w:lang w:val="en-US"/>
        </w:rPr>
        <w:t>Aber</w:t>
      </w:r>
      <w:r w:rsidR="0016561E" w:rsidRPr="001B216A">
        <w:rPr>
          <w:rFonts w:cstheme="minorHAnsi"/>
          <w:lang w:val="en-US"/>
        </w:rPr>
        <w:t>ystw</w:t>
      </w:r>
      <w:r w:rsidR="001B216A" w:rsidRPr="001B216A">
        <w:rPr>
          <w:rFonts w:cstheme="minorHAnsi"/>
          <w:lang w:val="en-US"/>
        </w:rPr>
        <w:t>yth University</w:t>
      </w:r>
      <w:r w:rsidR="0016561E" w:rsidRPr="001B216A">
        <w:rPr>
          <w:rFonts w:cstheme="minorHAnsi"/>
          <w:sz w:val="21"/>
          <w:szCs w:val="21"/>
          <w:shd w:val="clear" w:color="auto" w:fill="FFFFFF"/>
        </w:rPr>
        <w:t xml:space="preserve"> </w:t>
      </w:r>
    </w:p>
    <w:p w14:paraId="63D2F318" w14:textId="0449DC69" w:rsidR="002B767B" w:rsidRPr="002B767B" w:rsidRDefault="002B767B" w:rsidP="002B767B">
      <w:pPr>
        <w:rPr>
          <w:lang w:val="en-US"/>
        </w:rPr>
      </w:pPr>
      <w:r>
        <w:rPr>
          <w:lang w:val="en-US"/>
        </w:rPr>
        <w:t xml:space="preserve">Corresponding Author </w:t>
      </w:r>
      <w:r w:rsidR="00AE4D65">
        <w:rPr>
          <w:lang w:val="en-US"/>
        </w:rPr>
        <w:t>Dr Rachel Mason-Jones</w:t>
      </w:r>
      <w:r w:rsidR="00456603">
        <w:rPr>
          <w:lang w:val="en-US"/>
        </w:rPr>
        <w:t xml:space="preserve"> (rkmason-jones@cardiffmet.ac.uk)</w:t>
      </w:r>
    </w:p>
    <w:p w14:paraId="40203BAC" w14:textId="77777777" w:rsidR="00456603" w:rsidRDefault="00456603" w:rsidP="001605A0">
      <w:pPr>
        <w:jc w:val="both"/>
      </w:pPr>
    </w:p>
    <w:p w14:paraId="5B1E1316" w14:textId="5D5D5F2A" w:rsidR="00456603" w:rsidRPr="00F07438" w:rsidRDefault="00F07438" w:rsidP="001605A0">
      <w:pPr>
        <w:jc w:val="both"/>
        <w:rPr>
          <w:b/>
          <w:bCs/>
        </w:rPr>
      </w:pPr>
      <w:r w:rsidRPr="00F07438">
        <w:rPr>
          <w:b/>
          <w:bCs/>
        </w:rPr>
        <w:t>Introduction</w:t>
      </w:r>
    </w:p>
    <w:p w14:paraId="711659CD" w14:textId="24183664" w:rsidR="00CB00B1" w:rsidRDefault="004C48B8" w:rsidP="001605A0">
      <w:pPr>
        <w:jc w:val="both"/>
      </w:pPr>
      <w:r>
        <w:t xml:space="preserve">Supply Chain Management theory explores the importance of </w:t>
      </w:r>
      <w:r w:rsidR="0086185F">
        <w:t xml:space="preserve">understanding and </w:t>
      </w:r>
      <w:r w:rsidR="006C4E5E">
        <w:t xml:space="preserve">responding to </w:t>
      </w:r>
      <w:r>
        <w:t xml:space="preserve">uncertainty and risk within our </w:t>
      </w:r>
      <w:r w:rsidR="0086185F">
        <w:t>supply chain</w:t>
      </w:r>
      <w:r w:rsidR="006C4E5E">
        <w:t>s</w:t>
      </w:r>
      <w:r w:rsidR="00D71865">
        <w:t>,</w:t>
      </w:r>
      <w:r w:rsidR="008F331F">
        <w:t xml:space="preserve"> which is crit</w:t>
      </w:r>
      <w:r w:rsidR="000777FB">
        <w:t xml:space="preserve">ical when needing to examine </w:t>
      </w:r>
      <w:r w:rsidR="00D71865">
        <w:t>and challenge the ‘Business as Usual’ environment</w:t>
      </w:r>
      <w:r w:rsidR="006C4E5E">
        <w:t xml:space="preserve">.  </w:t>
      </w:r>
      <w:r w:rsidR="001457CD">
        <w:t>Recently k</w:t>
      </w:r>
      <w:r w:rsidR="00460A3D">
        <w:t xml:space="preserve">ey events such as Covid, BREXIT and </w:t>
      </w:r>
      <w:r w:rsidR="001353C6">
        <w:t xml:space="preserve">the Suez </w:t>
      </w:r>
      <w:r w:rsidR="009D3712">
        <w:t>Canal</w:t>
      </w:r>
      <w:r w:rsidR="001353C6">
        <w:t xml:space="preserve"> </w:t>
      </w:r>
      <w:r w:rsidR="009D3712">
        <w:t>disruption</w:t>
      </w:r>
      <w:r w:rsidR="001353C6">
        <w:t xml:space="preserve"> in 2020 have emphasized the importance </w:t>
      </w:r>
      <w:r w:rsidR="009D3712">
        <w:t xml:space="preserve">of </w:t>
      </w:r>
      <w:r w:rsidR="00695E30">
        <w:t>developing</w:t>
      </w:r>
      <w:r w:rsidR="009D3712">
        <w:t xml:space="preserve"> resilience strategies within our supply chains. </w:t>
      </w:r>
      <w:r w:rsidR="0086185F">
        <w:t xml:space="preserve"> </w:t>
      </w:r>
      <w:r w:rsidR="005C1D14" w:rsidRPr="002B7C35">
        <w:t xml:space="preserve">Evidence </w:t>
      </w:r>
      <w:r w:rsidR="00186296" w:rsidRPr="002B7C35">
        <w:t>suggests that</w:t>
      </w:r>
      <w:r w:rsidR="00BE7149" w:rsidRPr="002B7C35">
        <w:t xml:space="preserve"> although numerous projects are being implemented in the UK to harness </w:t>
      </w:r>
      <w:r w:rsidR="00575EF2">
        <w:t>M</w:t>
      </w:r>
      <w:r w:rsidR="00BE7149" w:rsidRPr="002B7C35">
        <w:t xml:space="preserve">arine </w:t>
      </w:r>
      <w:r w:rsidR="00575EF2">
        <w:t>R</w:t>
      </w:r>
      <w:r w:rsidR="00BE7149" w:rsidRPr="002B7C35">
        <w:t xml:space="preserve">enewable </w:t>
      </w:r>
      <w:r w:rsidR="00575EF2">
        <w:t>E</w:t>
      </w:r>
      <w:r w:rsidR="00BE7149" w:rsidRPr="002B7C35">
        <w:t>nergy</w:t>
      </w:r>
      <w:r w:rsidR="00186296">
        <w:t xml:space="preserve"> </w:t>
      </w:r>
      <w:r w:rsidR="00BE7149" w:rsidRPr="002B7C35">
        <w:t xml:space="preserve">(MRE), they are often subjected to </w:t>
      </w:r>
      <w:r w:rsidR="00A25777">
        <w:t>a range of</w:t>
      </w:r>
      <w:r w:rsidR="00BE7149" w:rsidRPr="002B7C35">
        <w:t xml:space="preserve"> challenges </w:t>
      </w:r>
      <w:r w:rsidR="001C6082">
        <w:t>from</w:t>
      </w:r>
      <w:r w:rsidR="00BD2FAA">
        <w:t xml:space="preserve">, establishing required supply chain capacity for the manufacture and implementation </w:t>
      </w:r>
      <w:r w:rsidR="003A4FF4">
        <w:t>to the ongoing ma</w:t>
      </w:r>
      <w:r w:rsidR="00B57313">
        <w:t>i</w:t>
      </w:r>
      <w:r w:rsidR="003A4FF4">
        <w:t>nten</w:t>
      </w:r>
      <w:r w:rsidR="000B0A21">
        <w:t>an</w:t>
      </w:r>
      <w:r w:rsidR="003A4FF4">
        <w:t>ce and monitoring</w:t>
      </w:r>
      <w:r w:rsidR="00BE7149" w:rsidRPr="002B7C35">
        <w:t>.</w:t>
      </w:r>
      <w:r w:rsidR="000B0A21">
        <w:t xml:space="preserve"> </w:t>
      </w:r>
      <w:r w:rsidR="00BE7149" w:rsidRPr="002B7C35">
        <w:t xml:space="preserve"> </w:t>
      </w:r>
      <w:r w:rsidR="00DF4283">
        <w:t>S</w:t>
      </w:r>
      <w:r w:rsidR="00BE7149" w:rsidRPr="002B7C35">
        <w:t>upply chain</w:t>
      </w:r>
      <w:r w:rsidR="00981EF1">
        <w:t>s</w:t>
      </w:r>
      <w:r w:rsidR="00BE7149" w:rsidRPr="002B7C35">
        <w:t xml:space="preserve"> of relatively new and technologically advanced products, such as </w:t>
      </w:r>
      <w:r w:rsidR="007B4050">
        <w:t>MRE</w:t>
      </w:r>
      <w:r w:rsidR="00B57313">
        <w:t xml:space="preserve"> </w:t>
      </w:r>
      <w:r w:rsidR="00BE7149" w:rsidRPr="002B7C35">
        <w:t xml:space="preserve">technologies, </w:t>
      </w:r>
      <w:r w:rsidR="00421CA4">
        <w:t>are</w:t>
      </w:r>
      <w:r w:rsidR="00BE7149" w:rsidRPr="002B7C35">
        <w:t xml:space="preserve"> more complex and vulnerable to challenges, risks and disruptions</w:t>
      </w:r>
      <w:r w:rsidR="00703180">
        <w:t xml:space="preserve"> (Noble et al, 2021)</w:t>
      </w:r>
      <w:r w:rsidR="00BE7149" w:rsidRPr="002B7C35">
        <w:t>.</w:t>
      </w:r>
      <w:r w:rsidR="00442B55">
        <w:t xml:space="preserve"> </w:t>
      </w:r>
      <w:r w:rsidR="00BE7149" w:rsidRPr="002B7C35">
        <w:t xml:space="preserve"> </w:t>
      </w:r>
      <w:r w:rsidR="00C94F61">
        <w:t>This can be due to s</w:t>
      </w:r>
      <w:r w:rsidR="00BE7149" w:rsidRPr="002B7C35">
        <w:t xml:space="preserve">everal factors </w:t>
      </w:r>
      <w:r w:rsidR="00D364D3">
        <w:t>contributing</w:t>
      </w:r>
      <w:r w:rsidR="00BE7149" w:rsidRPr="002B7C35">
        <w:t xml:space="preserve"> to increasing the probability of exposure to risks </w:t>
      </w:r>
      <w:r w:rsidR="005C1D14" w:rsidRPr="002B7C35">
        <w:t>and their</w:t>
      </w:r>
      <w:r w:rsidR="00BE7149" w:rsidRPr="002B7C35">
        <w:t xml:space="preserve"> associated impact on the supply chain</w:t>
      </w:r>
      <w:r w:rsidR="006A47AB">
        <w:t xml:space="preserve">.  </w:t>
      </w:r>
      <w:r w:rsidR="00BE7149" w:rsidRPr="002B7C35">
        <w:t xml:space="preserve"> </w:t>
      </w:r>
    </w:p>
    <w:p w14:paraId="1C3AA275" w14:textId="5C53B66E" w:rsidR="00FF21A6" w:rsidRDefault="0094321B" w:rsidP="001605A0">
      <w:pPr>
        <w:jc w:val="both"/>
      </w:pPr>
      <w:r>
        <w:t>The</w:t>
      </w:r>
      <w:r w:rsidR="009F285A">
        <w:t xml:space="preserve"> changing </w:t>
      </w:r>
      <w:r w:rsidR="001E79D5">
        <w:t>landscape</w:t>
      </w:r>
      <w:r w:rsidR="009F285A">
        <w:t xml:space="preserve"> in our energy </w:t>
      </w:r>
      <w:r w:rsidR="001E79D5">
        <w:t>infrastructure</w:t>
      </w:r>
      <w:r w:rsidR="0066138C">
        <w:t xml:space="preserve"> and sourcing was </w:t>
      </w:r>
      <w:r w:rsidR="001E79D5">
        <w:t>emphasised</w:t>
      </w:r>
      <w:r w:rsidR="0066138C">
        <w:t xml:space="preserve"> by </w:t>
      </w:r>
      <w:r w:rsidR="007A66F5">
        <w:t>the Welsh</w:t>
      </w:r>
      <w:r>
        <w:t xml:space="preserve"> </w:t>
      </w:r>
      <w:r w:rsidR="009F285A">
        <w:t>Government</w:t>
      </w:r>
      <w:r>
        <w:t xml:space="preserve"> announcement that</w:t>
      </w:r>
      <w:r w:rsidR="0066138C">
        <w:t xml:space="preserve"> they had a target for 100% renewable energy </w:t>
      </w:r>
      <w:r w:rsidR="001E79D5">
        <w:t xml:space="preserve">by 2035 (BBC 2023).  </w:t>
      </w:r>
      <w:r>
        <w:t xml:space="preserve"> </w:t>
      </w:r>
      <w:r w:rsidR="009530D9">
        <w:t>Previous research has indicated concern regarding the</w:t>
      </w:r>
      <w:r w:rsidR="0021721E" w:rsidRPr="002B7C35">
        <w:t xml:space="preserve"> MRE sector’s readiness to respond quickly to </w:t>
      </w:r>
      <w:r w:rsidR="00C0544B">
        <w:t>rapid growth</w:t>
      </w:r>
      <w:r w:rsidR="002738B7">
        <w:t xml:space="preserve"> </w:t>
      </w:r>
      <w:r w:rsidR="00265F03">
        <w:t xml:space="preserve">in </w:t>
      </w:r>
      <w:r w:rsidR="002467BC">
        <w:t xml:space="preserve">demand and the impact of capacity availability to </w:t>
      </w:r>
      <w:r w:rsidR="002467BC" w:rsidRPr="007A66F5">
        <w:t xml:space="preserve">respond </w:t>
      </w:r>
      <w:r w:rsidR="00D836F6" w:rsidRPr="007A66F5">
        <w:t>(</w:t>
      </w:r>
      <w:r w:rsidR="007A66F5" w:rsidRPr="007A66F5">
        <w:t>Mason-Jones</w:t>
      </w:r>
      <w:r w:rsidR="00D836F6" w:rsidRPr="007A66F5">
        <w:t xml:space="preserve"> et al</w:t>
      </w:r>
      <w:r w:rsidR="007A66F5" w:rsidRPr="007A66F5">
        <w:t>, 2019</w:t>
      </w:r>
      <w:r w:rsidR="00D836F6" w:rsidRPr="007A66F5">
        <w:t xml:space="preserve">) </w:t>
      </w:r>
      <w:r w:rsidR="002467BC">
        <w:t>and therefore the increased sensitivity and impact of</w:t>
      </w:r>
      <w:r w:rsidR="00C0544B">
        <w:t xml:space="preserve"> </w:t>
      </w:r>
      <w:r w:rsidR="0021721E" w:rsidRPr="002B7C35">
        <w:t>disruptive event</w:t>
      </w:r>
      <w:r w:rsidR="002467BC">
        <w:t xml:space="preserve">s.  This </w:t>
      </w:r>
      <w:r w:rsidR="00F52862">
        <w:t xml:space="preserve">has </w:t>
      </w:r>
      <w:r w:rsidR="0021721E" w:rsidRPr="002B7C35">
        <w:t>reinforced a</w:t>
      </w:r>
      <w:r w:rsidR="00F52862">
        <w:t xml:space="preserve"> </w:t>
      </w:r>
      <w:r w:rsidR="0021721E" w:rsidRPr="002B7C35">
        <w:t xml:space="preserve">call for a better understanding of how to improve </w:t>
      </w:r>
      <w:r w:rsidR="00761BAB">
        <w:t xml:space="preserve">supply chain </w:t>
      </w:r>
      <w:r w:rsidR="0021721E" w:rsidRPr="002B7C35">
        <w:t>resilienc</w:t>
      </w:r>
      <w:r w:rsidR="00F77459">
        <w:t>e</w:t>
      </w:r>
      <w:r w:rsidR="00761BAB">
        <w:t xml:space="preserve"> in the marine energy sector</w:t>
      </w:r>
      <w:r w:rsidR="0021721E" w:rsidRPr="002B7C35">
        <w:t>.</w:t>
      </w:r>
      <w:r w:rsidR="00761BAB">
        <w:t xml:space="preserve"> </w:t>
      </w:r>
      <w:r w:rsidR="0021721E" w:rsidRPr="0021721E">
        <w:t xml:space="preserve"> </w:t>
      </w:r>
      <w:r w:rsidR="0021721E" w:rsidRPr="002B7C35">
        <w:t>The future resilienc</w:t>
      </w:r>
      <w:r w:rsidR="00F77459">
        <w:t>e</w:t>
      </w:r>
      <w:r w:rsidR="0021721E" w:rsidRPr="002B7C35">
        <w:t xml:space="preserve"> of the MRE supply chain sector, depends on adopting a dynamic, responsive </w:t>
      </w:r>
      <w:r w:rsidR="001831E7">
        <w:t xml:space="preserve">holistic </w:t>
      </w:r>
      <w:r w:rsidR="0021721E" w:rsidRPr="002B7C35">
        <w:t>strategic</w:t>
      </w:r>
      <w:r w:rsidR="001831E7">
        <w:t xml:space="preserve"> approach</w:t>
      </w:r>
      <w:r w:rsidR="0021721E" w:rsidRPr="002B7C35">
        <w:t xml:space="preserve"> in response to </w:t>
      </w:r>
      <w:r w:rsidR="00114551">
        <w:t>uncertainty and risk</w:t>
      </w:r>
      <w:r w:rsidR="00AF0357">
        <w:t>.  T</w:t>
      </w:r>
      <w:r w:rsidR="00F30C5F">
        <w:t>he</w:t>
      </w:r>
      <w:r w:rsidR="00275605" w:rsidRPr="002B7C35">
        <w:t xml:space="preserve"> study aimed to explore the</w:t>
      </w:r>
      <w:r w:rsidR="002A2F70">
        <w:t xml:space="preserve"> </w:t>
      </w:r>
      <w:r w:rsidR="00961739">
        <w:t xml:space="preserve">concept of supply chain resilience behaviours within the MRE supply chain and explore </w:t>
      </w:r>
      <w:r w:rsidR="00223F0B">
        <w:t>opportunities for improvement strategies.</w:t>
      </w:r>
    </w:p>
    <w:p w14:paraId="74B75721" w14:textId="450C6A9E" w:rsidR="00EC0925" w:rsidRDefault="003F7528" w:rsidP="001605A0">
      <w:pPr>
        <w:jc w:val="both"/>
        <w:rPr>
          <w:lang w:val="en-US"/>
        </w:rPr>
      </w:pPr>
      <w:r w:rsidRPr="00D378C3">
        <w:rPr>
          <w:b/>
          <w:bCs/>
          <w:lang w:val="en-US"/>
        </w:rPr>
        <w:t>Keywords</w:t>
      </w:r>
      <w:r>
        <w:rPr>
          <w:lang w:val="en-US"/>
        </w:rPr>
        <w:t>: Supply chain management, resilience, uncertainty, risk management</w:t>
      </w:r>
      <w:r w:rsidR="000875F1">
        <w:rPr>
          <w:lang w:val="en-US"/>
        </w:rPr>
        <w:t>.</w:t>
      </w:r>
    </w:p>
    <w:p w14:paraId="0863020C" w14:textId="5952473F" w:rsidR="000F5E98" w:rsidRDefault="000F5E98" w:rsidP="001605A0">
      <w:pPr>
        <w:jc w:val="both"/>
        <w:rPr>
          <w:lang w:val="en-US"/>
        </w:rPr>
      </w:pPr>
    </w:p>
    <w:p w14:paraId="19FCBFF1" w14:textId="706927E7" w:rsidR="000F5E98" w:rsidRPr="00D378C3" w:rsidRDefault="000F5E98" w:rsidP="00D378C3">
      <w:pPr>
        <w:pStyle w:val="xxparagraph"/>
        <w:shd w:val="clear" w:color="auto" w:fill="FFFFFF"/>
        <w:spacing w:before="0" w:after="0" w:afterAutospacing="0"/>
        <w:jc w:val="both"/>
        <w:textAlignment w:val="baseline"/>
        <w:rPr>
          <w:rStyle w:val="xxeop"/>
          <w:rFonts w:ascii="Calibri" w:hAnsi="Calibri" w:cs="Calibri"/>
          <w:b/>
          <w:bCs/>
          <w:color w:val="242424"/>
          <w:bdr w:val="none" w:sz="0" w:space="0" w:color="auto" w:frame="1"/>
        </w:rPr>
      </w:pPr>
      <w:r w:rsidRPr="00D378C3">
        <w:rPr>
          <w:rStyle w:val="xxnormaltextrun"/>
          <w:rFonts w:ascii="Calibri" w:hAnsi="Calibri" w:cs="Calibri"/>
          <w:b/>
          <w:bCs/>
          <w:color w:val="242424"/>
          <w:bdr w:val="none" w:sz="0" w:space="0" w:color="auto" w:frame="1"/>
        </w:rPr>
        <w:t>Relevant background information</w:t>
      </w:r>
      <w:r w:rsidRPr="00D378C3">
        <w:rPr>
          <w:rStyle w:val="xxeop"/>
          <w:rFonts w:ascii="Calibri" w:hAnsi="Calibri" w:cs="Calibri"/>
          <w:b/>
          <w:bCs/>
          <w:color w:val="242424"/>
          <w:bdr w:val="none" w:sz="0" w:space="0" w:color="auto" w:frame="1"/>
        </w:rPr>
        <w:t> </w:t>
      </w:r>
    </w:p>
    <w:p w14:paraId="6E78ADC9" w14:textId="6B27F327" w:rsidR="003C5484" w:rsidRPr="00D5202E" w:rsidRDefault="003C5484" w:rsidP="00E603FD">
      <w:pPr>
        <w:jc w:val="both"/>
        <w:rPr>
          <w:lang w:eastAsia="en-GB"/>
        </w:rPr>
      </w:pPr>
      <w:r w:rsidRPr="00D5202E">
        <w:t>Supply chains are complex and dynamic multi-level structures consisting of diverse entities and configurations ranging from simple forward</w:t>
      </w:r>
      <w:r>
        <w:t>-</w:t>
      </w:r>
      <w:r w:rsidRPr="00D5202E">
        <w:t xml:space="preserve">flow production distribution networks to closed-loop </w:t>
      </w:r>
      <w:r>
        <w:t>systems</w:t>
      </w:r>
      <w:r w:rsidRPr="00D5202E">
        <w:t xml:space="preserve"> </w:t>
      </w:r>
      <w:r w:rsidRPr="00D5202E">
        <w:fldChar w:fldCharType="begin"/>
      </w:r>
      <w:r>
        <w:instrText xml:space="preserve"> ADDIN ZOTERO_ITEM CSL_CITATION {"citationID":"3M9PnK0Q","properties":{"formattedCitation":"(Sazvar et al., 2021)","plainCitation":"(Sazvar et al., 2021)","noteIndex":0},"citationItems":[{"id":230,"uris":["http://zotero.org/groups/4721076/items/CNBW6AZR"],"itemData":{"id":230,"type":"article-journal","abstract":"This paper introduces a multi-objective mathematical model to design a sustainable-resilient supply chain based on strategic and tactical decision levels. The resolution is to proactively plan for an optimal configuration to satisfy customer demands when the firm is highly vulnerable to operational and disruption risks. Compared to previous studies, we take the application of capacity planning in terms of redundancy to design a supply chain network that is resilient toward the demand-side by an optimization framework. A real-world influenza vaccine supply chain is studied to validate the proposed model and examine the tradeoff between resilience and sustainability. A robust fuzzy optimization approach is employed to cope with uncertainties. Then, the multi-objective model is solved by applying multi-choice goal programming with a utility function approach. Accordingly, managerial insights are suggested by analyzing the effects of structural parameters on the quantitative results. It is revealed that having redundancies in the supply chain does not always increase the total costs.","container-title":"Computers &amp; Industrial Engineering","DOI":"10.1016/j.cie.2021.107406","ISSN":"0360-8352","journalAbbreviation":"Computers &amp; Industrial Engineering","language":"en","page":"107406","source":"ScienceDirect","title":"A capacity planning approach for sustainable-resilient supply chain network design under uncertainty: A case study of vaccine supply chain","title-short":"A capacity planning approach for sustainable-resilient supply chain network design under uncertainty","volume":"159","author":[{"family":"Sazvar","given":"Zeinab"},{"family":"Tafakkori","given":"Keivan"},{"family":"Oladzad","given":"Nastaran"},{"family":"Nayeri","given":"Sina"}],"issued":{"date-parts":[["2021",9,1]]}}}],"schema":"https://github.com/citation-style-language/schema/raw/master/csl-citation.json"} </w:instrText>
      </w:r>
      <w:r w:rsidRPr="00D5202E">
        <w:fldChar w:fldCharType="separate"/>
      </w:r>
      <w:r w:rsidRPr="00DD6F90">
        <w:rPr>
          <w:rFonts w:ascii="Calibri" w:hAnsi="Calibri" w:cs="Calibri"/>
        </w:rPr>
        <w:t>(Sazvar et al., 2021)</w:t>
      </w:r>
      <w:r w:rsidRPr="00D5202E">
        <w:fldChar w:fldCharType="end"/>
      </w:r>
      <w:r w:rsidRPr="00D5202E">
        <w:t xml:space="preserve">. </w:t>
      </w:r>
      <w:r w:rsidRPr="00D5202E">
        <w:rPr>
          <w:lang w:eastAsia="en-GB"/>
        </w:rPr>
        <w:t xml:space="preserve">In the UK, the economic viability of generating electricity from Marine Renewable Energy (MRE) and surviving in a competitive energy market </w:t>
      </w:r>
      <w:r>
        <w:rPr>
          <w:lang w:eastAsia="en-GB"/>
        </w:rPr>
        <w:t>relies</w:t>
      </w:r>
      <w:r w:rsidRPr="00D5202E">
        <w:rPr>
          <w:lang w:eastAsia="en-GB"/>
        </w:rPr>
        <w:t xml:space="preserve"> </w:t>
      </w:r>
      <w:proofErr w:type="gramStart"/>
      <w:r w:rsidRPr="00D5202E">
        <w:rPr>
          <w:lang w:eastAsia="en-GB"/>
        </w:rPr>
        <w:t>to a great extent</w:t>
      </w:r>
      <w:proofErr w:type="gramEnd"/>
      <w:r w:rsidRPr="00D5202E">
        <w:rPr>
          <w:lang w:eastAsia="en-GB"/>
        </w:rPr>
        <w:t xml:space="preserve"> on the performance of the UK’s </w:t>
      </w:r>
      <w:r w:rsidR="003052D4">
        <w:rPr>
          <w:lang w:eastAsia="en-GB"/>
        </w:rPr>
        <w:t xml:space="preserve">energy </w:t>
      </w:r>
      <w:r w:rsidRPr="00D5202E">
        <w:rPr>
          <w:lang w:eastAsia="en-GB"/>
        </w:rPr>
        <w:t>supply chain.</w:t>
      </w:r>
      <w:r>
        <w:rPr>
          <w:lang w:eastAsia="en-GB"/>
        </w:rPr>
        <w:t xml:space="preserve"> </w:t>
      </w:r>
      <w:r w:rsidRPr="00D5202E">
        <w:rPr>
          <w:lang w:eastAsia="en-GB"/>
        </w:rPr>
        <w:t xml:space="preserve">The challenges associated with the MRE sector, such as materials, manufacturing, </w:t>
      </w:r>
      <w:r>
        <w:rPr>
          <w:lang w:eastAsia="en-GB"/>
        </w:rPr>
        <w:t xml:space="preserve">grid </w:t>
      </w:r>
      <w:r w:rsidRPr="00D5202E">
        <w:rPr>
          <w:lang w:eastAsia="en-GB"/>
        </w:rPr>
        <w:t xml:space="preserve">connection, logistics and </w:t>
      </w:r>
      <w:r>
        <w:rPr>
          <w:lang w:eastAsia="en-GB"/>
        </w:rPr>
        <w:t xml:space="preserve">skilled staffing </w:t>
      </w:r>
      <w:r w:rsidRPr="00D5202E">
        <w:rPr>
          <w:lang w:eastAsia="en-GB"/>
        </w:rPr>
        <w:t xml:space="preserve">present significant risks and uncertainties </w:t>
      </w:r>
      <w:r>
        <w:rPr>
          <w:lang w:eastAsia="en-GB"/>
        </w:rPr>
        <w:t xml:space="preserve">which </w:t>
      </w:r>
      <w:r w:rsidRPr="00D5202E">
        <w:rPr>
          <w:lang w:eastAsia="en-GB"/>
        </w:rPr>
        <w:t xml:space="preserve">impact the ability of </w:t>
      </w:r>
      <w:r>
        <w:rPr>
          <w:lang w:eastAsia="en-GB"/>
        </w:rPr>
        <w:t xml:space="preserve">economic </w:t>
      </w:r>
      <w:r w:rsidRPr="00D5202E">
        <w:rPr>
          <w:lang w:eastAsia="en-GB"/>
        </w:rPr>
        <w:t>grow</w:t>
      </w:r>
      <w:r>
        <w:rPr>
          <w:lang w:eastAsia="en-GB"/>
        </w:rPr>
        <w:t>th and financially viable</w:t>
      </w:r>
      <w:r w:rsidRPr="00D5202E">
        <w:rPr>
          <w:lang w:eastAsia="en-GB"/>
        </w:rPr>
        <w:t xml:space="preserve"> levelized cost</w:t>
      </w:r>
      <w:r>
        <w:rPr>
          <w:lang w:eastAsia="en-GB"/>
        </w:rPr>
        <w:t>s</w:t>
      </w:r>
      <w:r w:rsidRPr="00D5202E">
        <w:rPr>
          <w:lang w:eastAsia="en-GB"/>
        </w:rPr>
        <w:t xml:space="preserve"> of energy. It is also recognised, in the case of relatively new technological solutions, </w:t>
      </w:r>
      <w:r>
        <w:rPr>
          <w:lang w:eastAsia="en-GB"/>
        </w:rPr>
        <w:t xml:space="preserve">that </w:t>
      </w:r>
      <w:r w:rsidRPr="00D5202E">
        <w:rPr>
          <w:lang w:eastAsia="en-GB"/>
        </w:rPr>
        <w:t xml:space="preserve">the likelihood of </w:t>
      </w:r>
      <w:r w:rsidRPr="00D5202E">
        <w:rPr>
          <w:lang w:eastAsia="en-GB"/>
        </w:rPr>
        <w:lastRenderedPageBreak/>
        <w:t>uncertainties and disruptions to the supply chain is relatively higher</w:t>
      </w:r>
      <w:r>
        <w:rPr>
          <w:lang w:eastAsia="en-GB"/>
        </w:rPr>
        <w:t>, compared to existing energy sources</w:t>
      </w:r>
      <w:r w:rsidRPr="00D5202E">
        <w:rPr>
          <w:lang w:eastAsia="en-GB"/>
        </w:rPr>
        <w:t xml:space="preserve"> </w:t>
      </w:r>
      <w:r w:rsidRPr="00D5202E">
        <w:rPr>
          <w:lang w:eastAsia="en-GB"/>
        </w:rPr>
        <w:fldChar w:fldCharType="begin"/>
      </w:r>
      <w:r>
        <w:rPr>
          <w:lang w:eastAsia="en-GB"/>
        </w:rPr>
        <w:instrText xml:space="preserve"> ADDIN ZOTERO_ITEM CSL_CITATION {"citationID":"ezgB9Ztm","properties":{"formattedCitation":"(Chopra and Meindl, 2013)","plainCitation":"(Chopra and Meindl, 2013)","noteIndex":0},"citationItems":[{"id":124,"uris":["http://zotero.org/groups/4721076/items/QKF3RZVK"],"itemData":{"id":124,"type":"book","edition":"5","event-place":"London, United Kingdom","publisher":"Pearson","publisher-place":"London, United Kingdom","title":"Supply chain management: Strategy, planning and operation","author":[{"family":"Chopra","given":"Sunil"},{"family":"Meindl","given":"Peter"}],"issued":{"date-parts":[["2013"]]}}}],"schema":"https://github.com/citation-style-language/schema/raw/master/csl-citation.json"} </w:instrText>
      </w:r>
      <w:r w:rsidRPr="00D5202E">
        <w:rPr>
          <w:lang w:eastAsia="en-GB"/>
        </w:rPr>
        <w:fldChar w:fldCharType="separate"/>
      </w:r>
      <w:r w:rsidRPr="00DD6F90">
        <w:rPr>
          <w:rFonts w:ascii="Calibri" w:hAnsi="Calibri" w:cs="Calibri"/>
        </w:rPr>
        <w:t>(</w:t>
      </w:r>
      <w:r w:rsidR="00653B6A">
        <w:rPr>
          <w:rFonts w:ascii="Calibri" w:hAnsi="Calibri" w:cs="Calibri"/>
        </w:rPr>
        <w:t>Hoffman</w:t>
      </w:r>
      <w:r w:rsidRPr="00DD6F90">
        <w:rPr>
          <w:rFonts w:ascii="Calibri" w:hAnsi="Calibri" w:cs="Calibri"/>
        </w:rPr>
        <w:t>, 2013)</w:t>
      </w:r>
      <w:r w:rsidRPr="00D5202E">
        <w:rPr>
          <w:lang w:eastAsia="en-GB"/>
        </w:rPr>
        <w:fldChar w:fldCharType="end"/>
      </w:r>
      <w:r w:rsidRPr="00D5202E">
        <w:rPr>
          <w:lang w:eastAsia="en-GB"/>
        </w:rPr>
        <w:t>.</w:t>
      </w:r>
      <w:r>
        <w:rPr>
          <w:lang w:eastAsia="en-GB"/>
        </w:rPr>
        <w:t xml:space="preserve"> </w:t>
      </w:r>
      <w:r w:rsidRPr="00D5202E">
        <w:rPr>
          <w:lang w:eastAsia="en-GB"/>
        </w:rPr>
        <w:t>Therefore, introducing innovative interventions to improve supply chain resilience</w:t>
      </w:r>
      <w:r>
        <w:rPr>
          <w:lang w:eastAsia="en-GB"/>
        </w:rPr>
        <w:t xml:space="preserve"> in the MRE sector from the outset is critical to</w:t>
      </w:r>
      <w:r w:rsidRPr="00D5202E">
        <w:rPr>
          <w:lang w:eastAsia="en-GB"/>
        </w:rPr>
        <w:t xml:space="preserve"> ensuring its long-term sustainability</w:t>
      </w:r>
      <w:r w:rsidR="00661C27">
        <w:rPr>
          <w:lang w:eastAsia="en-GB"/>
        </w:rPr>
        <w:t xml:space="preserve"> especially within a rapidly changing landscape</w:t>
      </w:r>
      <w:r w:rsidRPr="00D5202E">
        <w:rPr>
          <w:lang w:eastAsia="en-GB"/>
        </w:rPr>
        <w:t>.</w:t>
      </w:r>
      <w:r w:rsidR="00B42E01">
        <w:rPr>
          <w:lang w:eastAsia="en-GB"/>
        </w:rPr>
        <w:t xml:space="preserve"> </w:t>
      </w:r>
      <w:r w:rsidRPr="00D5202E">
        <w:t xml:space="preserve"> Although the likelihood of risks to the supply chain has increased in recent years, the adoption of measures in response to th</w:t>
      </w:r>
      <w:r>
        <w:t>ose</w:t>
      </w:r>
      <w:r w:rsidRPr="00D5202E">
        <w:t xml:space="preserve"> predicted risks </w:t>
      </w:r>
      <w:r>
        <w:t>has been</w:t>
      </w:r>
      <w:r w:rsidRPr="00D5202E">
        <w:t xml:space="preserve"> low in practice</w:t>
      </w:r>
      <w:r>
        <w:t xml:space="preserve"> (</w:t>
      </w:r>
      <w:proofErr w:type="spellStart"/>
      <w:r>
        <w:t>Sazvar</w:t>
      </w:r>
      <w:proofErr w:type="spellEnd"/>
      <w:r>
        <w:t xml:space="preserve"> et al, 2021).</w:t>
      </w:r>
    </w:p>
    <w:p w14:paraId="2A911EF8" w14:textId="77777777" w:rsidR="00F91DA1" w:rsidRDefault="003C5484" w:rsidP="00E603FD">
      <w:pPr>
        <w:jc w:val="both"/>
      </w:pPr>
      <w:r>
        <w:t>I</w:t>
      </w:r>
      <w:r w:rsidRPr="00D5202E">
        <w:t>t is vital that companies throughout the supply chain incorporate measures to improve resilience into their business practices and thereby</w:t>
      </w:r>
      <w:r>
        <w:t xml:space="preserve"> also reinforce the resilience of the wider supply chain</w:t>
      </w:r>
      <w:r w:rsidRPr="00D5202E">
        <w:t>. A better understanding of which risks are experienced by supply chain companies and what measures are in place to address them are key to</w:t>
      </w:r>
      <w:r>
        <w:t xml:space="preserve"> initiating the process. </w:t>
      </w:r>
      <w:r w:rsidR="00255DF9">
        <w:t xml:space="preserve"> </w:t>
      </w:r>
      <w:r>
        <w:t>One</w:t>
      </w:r>
      <w:r w:rsidRPr="00D5202E">
        <w:t xml:space="preserve"> distinctive characteristic of a resilient supply chain is its ability to recover from adverse effects when subjected to operational risks and disruptions </w:t>
      </w:r>
      <w:r w:rsidRPr="00D5202E">
        <w:fldChar w:fldCharType="begin"/>
      </w:r>
      <w:r>
        <w:instrText xml:space="preserve"> ADDIN ZOTERO_ITEM CSL_CITATION {"citationID":"Ghj0WqIo","properties":{"formattedCitation":"(Craighead et al., 2007; Khalili et al., 2017; Sheffi, 2006; Tang, 2006)","plainCitation":"(Craighead et al., 2007; Khalili et al., 2017; Sheffi, 2006; Tang, 2006)","noteIndex":0},"citationItems":[{"id":240,"uris":["http://zotero.org/groups/4721076/items/D5VW8XRW"],"itemData":{"id":240,"type":"article-journal","abstract":"Supply chain disruptions and the associated operational and financial risks represent the most pressing concern facing firms that compete in today's global marketplace. Extant research has not only confirmed the costly nature of supply chain disruptions but has also contributed relevant insights on such related issues as supply chain risks, vulnerability, resilience, and continuity. In this conceptual note, we focus on a relatively unexplored issue, asking and answering the question of how and why one supply chain disruption would be more severe than another. In doing so, we argue, de facto, that supply chain disruptions are unavoidable and, as a consequence, that all supply chains are inherently risky. Employing a multiple-method, multiple-source empirical research design, we derive novel insights, presented as six propositions that relate the severity of supply chain disruptions (i) to the three supply chain design characteristics of density, complexity, and node criticality and (ii) to the two supply chain mitigation capabilities of recovery and warning. These findings not only augment existing knowledge related to supply chain risk, vulnerability, resilience, and business continuity planning but also call into question the wisdom of pursuing such practices as supply base reduction, global sourcing, and sourcing from supply clusters.","container-title":"Decision Sciences","DOI":"10.1111/j.1540-5915.2007.00151.x","ISSN":"1540-5915","issue":"1","language":"en","note":"_eprint: https://onlinelibrary.wiley.com/doi/pdf/10.1111/j.1540-5915.2007.00151.x","page":"131-156","source":"Wiley Online Library","title":"The Severity of Supply Chain Disruptions: Design Characteristics and Mitigation Capabilities","title-short":"The Severity of Supply Chain Disruptions","volume":"38","author":[{"family":"Craighead","given":"Christopher W."},{"family":"Blackhurst","given":"Jennifer"},{"family":"Rungtusanatham","given":"M. Johnny"},{"family":"Handfield","given":"Robert B."}],"issued":{"date-parts":[["2007"]]}},"label":"page"},{"id":242,"uris":["http://zotero.org/groups/4721076/items/9BXTHP5Y"],"itemData":{"id":242,"type":"article-journal","abstract":"Global supply chains are increasingly exposed to operational and disruption risks that threaten their business continuity. This paper presents a novel two-stage scenario-based mixed stochastic-possibilistic programming model for integrated production and distribution planning problem in a two-echelon supply chain over a midterm horizon under risk. Operational risks are handled by introducing imprecise (i.e. possibilistic) parameters while disruption risks are accounted for through stochastic disruption scenarios. The proposed model accounts for the risk mitigation options and recovery of lost capacities in an integrated manner. In the first stage, the structure of the chain and proactive risk mitigation decisions are determined, while the second stage specifies the recovery plan of lost capacities in addition to production and distribution plans. Considering extra capacities in the production facilities, backup routes for transportation links and pre-positioning of emergency inventory in distribution centres are considered as feasible options to improve the resilience level of the supply chain. We propose a new indicator for optimising the resilience level of the chain based on restoration of lost capacities. For the sake of robustness, the expected worst case of the second stage’s objective function is considered by utilising the conditional value at risk (CVaR) measure. The validation and applicability of the proposed model are examined through several numerical experiments.","container-title":"International Journal of Production Research","DOI":"10.1080/00207543.2016.1213446","ISSN":"0020-7543","issue":"4","note":"publisher: Taylor &amp; Francis\n_eprint: https://doi.org/10.1080/00207543.2016.1213446","page":"1040-1064","source":"Taylor and Francis+NEJM","title":"Integrated production–distribution planning in two-echelon systems: a resilience view","title-short":"Integrated production–distribution planning in two-echelon systems","volume":"55","author":[{"family":"Khalili","given":"Seyed Mohammad"},{"family":"Jolai","given":"Fariborz"},{"family":"Torabi","given":"Seyed Ali"}],"issued":{"date-parts":[["2017",2,16]]}},"label":"page"},{"id":243,"uris":["http://zotero.org/groups/4721076/items/KDN38YYE"],"itemData":{"id":243,"type":"article-journal","container-title":"Bridge-Washington-National Academy of Engineering","issue":"22","page":"30","title":"Building a resilient organization","volume":"37","author":[{"family":"Sheffi","given":"Y"}],"issued":{"date-parts":[["2006"]]}},"label":"page"},{"id":232,"uris":["http://zotero.org/groups/4721076/items/FK7BK88L"],"itemData":{"id":232,"type":"article-journal","container-title":"International Journal of  Production Economics","issue":"2","page":"451-488","title":"Perspectives in supply chain risk management","volume":"103","author":[{"family":"Tang","given":"C S"}],"issued":{"date-parts":[["2006"]]}},"label":"page"}],"schema":"https://github.com/citation-style-language/schema/raw/master/csl-citation.json"} </w:instrText>
      </w:r>
      <w:r w:rsidRPr="00D5202E">
        <w:fldChar w:fldCharType="separate"/>
      </w:r>
      <w:r w:rsidRPr="00DD6F90">
        <w:rPr>
          <w:rFonts w:ascii="Calibri" w:hAnsi="Calibri" w:cs="Calibri"/>
        </w:rPr>
        <w:t>(Craighead et al., 2007; Khalili et al., 2017; Sheffi, 2006; Tang, 2006)</w:t>
      </w:r>
      <w:r w:rsidRPr="00D5202E">
        <w:fldChar w:fldCharType="end"/>
      </w:r>
      <w:r w:rsidRPr="00D5202E">
        <w:t xml:space="preserve">. The first step towards designing a resilient </w:t>
      </w:r>
      <w:r>
        <w:t>strategy</w:t>
      </w:r>
      <w:r w:rsidRPr="00D5202E">
        <w:t xml:space="preserve"> involves identifying the low</w:t>
      </w:r>
      <w:r>
        <w:t xml:space="preserve"> </w:t>
      </w:r>
      <w:r w:rsidRPr="00D5202E">
        <w:t>and high</w:t>
      </w:r>
      <w:r>
        <w:t>-</w:t>
      </w:r>
      <w:r w:rsidRPr="00D5202E">
        <w:t>probability risks that could potentially disrupt the supply chain system.</w:t>
      </w:r>
    </w:p>
    <w:p w14:paraId="0422AF72" w14:textId="702A8730" w:rsidR="003C5484" w:rsidRPr="00F91DA1" w:rsidRDefault="003C5484" w:rsidP="00E603FD">
      <w:pPr>
        <w:jc w:val="both"/>
      </w:pPr>
      <w:r w:rsidRPr="00D5202E">
        <w:rPr>
          <w:lang w:eastAsia="en-GB"/>
        </w:rPr>
        <w:t xml:space="preserve"> The viability of expanding the Welsh MRE s</w:t>
      </w:r>
      <w:r>
        <w:rPr>
          <w:lang w:eastAsia="en-GB"/>
        </w:rPr>
        <w:t>ector</w:t>
      </w:r>
      <w:r w:rsidRPr="00D5202E">
        <w:rPr>
          <w:lang w:eastAsia="en-GB"/>
        </w:rPr>
        <w:t xml:space="preserve"> </w:t>
      </w:r>
      <w:r>
        <w:rPr>
          <w:lang w:eastAsia="en-GB"/>
        </w:rPr>
        <w:t xml:space="preserve">is reliant on </w:t>
      </w:r>
      <w:r w:rsidRPr="00D5202E">
        <w:rPr>
          <w:lang w:eastAsia="en-GB"/>
        </w:rPr>
        <w:t>highlight</w:t>
      </w:r>
      <w:r>
        <w:rPr>
          <w:lang w:eastAsia="en-GB"/>
        </w:rPr>
        <w:t>ing</w:t>
      </w:r>
      <w:r w:rsidRPr="00D5202E">
        <w:rPr>
          <w:lang w:eastAsia="en-GB"/>
        </w:rPr>
        <w:t xml:space="preserve"> the importance of understanding and identifying which areas of the supply chain are exhibiting resilience behaviour</w:t>
      </w:r>
      <w:r>
        <w:rPr>
          <w:lang w:eastAsia="en-GB"/>
        </w:rPr>
        <w:t xml:space="preserve"> and instigating learning from those examples of good practice, as well as identifying </w:t>
      </w:r>
      <w:r w:rsidRPr="00D5202E">
        <w:rPr>
          <w:lang w:eastAsia="en-GB"/>
        </w:rPr>
        <w:t xml:space="preserve">where there </w:t>
      </w:r>
      <w:r>
        <w:rPr>
          <w:lang w:eastAsia="en-GB"/>
        </w:rPr>
        <w:t xml:space="preserve">are </w:t>
      </w:r>
      <w:r w:rsidRPr="00D5202E">
        <w:rPr>
          <w:lang w:eastAsia="en-GB"/>
        </w:rPr>
        <w:t xml:space="preserve">opportunities for improvement.  </w:t>
      </w:r>
    </w:p>
    <w:p w14:paraId="1DFB6072" w14:textId="77777777" w:rsidR="003C5484" w:rsidRDefault="003C5484" w:rsidP="000F5E98">
      <w:pPr>
        <w:pStyle w:val="xxparagraph"/>
        <w:shd w:val="clear" w:color="auto" w:fill="FFFFFF"/>
        <w:spacing w:before="0" w:after="0" w:afterAutospacing="0"/>
        <w:ind w:left="1065"/>
        <w:jc w:val="both"/>
        <w:textAlignment w:val="baseline"/>
        <w:rPr>
          <w:color w:val="242424"/>
        </w:rPr>
      </w:pPr>
    </w:p>
    <w:p w14:paraId="4E59B698" w14:textId="178A0ACB" w:rsidR="00430EFF" w:rsidRPr="00430EFF" w:rsidRDefault="00430EFF" w:rsidP="00430EFF">
      <w:pPr>
        <w:rPr>
          <w:b/>
        </w:rPr>
      </w:pPr>
      <w:r w:rsidRPr="00430EFF">
        <w:rPr>
          <w:b/>
        </w:rPr>
        <w:t>Research Approach</w:t>
      </w:r>
    </w:p>
    <w:p w14:paraId="7CEA1D8D" w14:textId="66FB89DF" w:rsidR="003C5484" w:rsidRPr="00430EFF" w:rsidRDefault="003C5484" w:rsidP="00E603FD">
      <w:pPr>
        <w:jc w:val="both"/>
        <w:rPr>
          <w:rFonts w:eastAsia="Times New Roman" w:cstheme="minorHAnsi"/>
          <w:b/>
          <w:bCs/>
          <w:color w:val="000000"/>
          <w:sz w:val="28"/>
          <w:szCs w:val="28"/>
        </w:rPr>
      </w:pPr>
      <w:r w:rsidRPr="7659E78B">
        <w:t xml:space="preserve">The project </w:t>
      </w:r>
      <w:r w:rsidR="001F37D6">
        <w:t>had</w:t>
      </w:r>
      <w:r w:rsidRPr="7659E78B">
        <w:t xml:space="preserve"> </w:t>
      </w:r>
      <w:r>
        <w:t>four</w:t>
      </w:r>
      <w:r w:rsidRPr="7659E78B">
        <w:t xml:space="preserve"> distinct </w:t>
      </w:r>
      <w:r>
        <w:t>stages</w:t>
      </w:r>
      <w:r w:rsidRPr="7659E78B">
        <w:t xml:space="preserve"> of work</w:t>
      </w:r>
      <w:r w:rsidR="00AA6480">
        <w:t xml:space="preserve"> as outlined in Figure 1</w:t>
      </w:r>
      <w:r w:rsidRPr="7659E78B">
        <w:t>.</w:t>
      </w:r>
      <w:r>
        <w:t xml:space="preserve"> Stage one and two focused on data collection and Stage three and four focused on application and dissemination. In Stage one, we undertook an in-depth scoping study to explore the context of the research project</w:t>
      </w:r>
      <w:r w:rsidR="00430EFF">
        <w:t xml:space="preserve"> analysing academic</w:t>
      </w:r>
      <w:r>
        <w:t xml:space="preserve"> literature and policy documentation focused on the MRE sector. Stage</w:t>
      </w:r>
      <w:r w:rsidRPr="7659E78B">
        <w:t xml:space="preserve"> </w:t>
      </w:r>
      <w:r>
        <w:t>two</w:t>
      </w:r>
      <w:r w:rsidRPr="7659E78B">
        <w:t xml:space="preserve"> consisted of </w:t>
      </w:r>
      <w:r>
        <w:t>three</w:t>
      </w:r>
      <w:r w:rsidRPr="7659E78B">
        <w:t xml:space="preserve"> </w:t>
      </w:r>
      <w:r>
        <w:t>phases</w:t>
      </w:r>
      <w:r w:rsidRPr="7659E78B">
        <w:t xml:space="preserve"> of work</w:t>
      </w:r>
      <w:r w:rsidR="00430EFF">
        <w:t xml:space="preserve"> outlined in Figure 1</w:t>
      </w:r>
      <w:r w:rsidRPr="7659E78B">
        <w:t xml:space="preserve"> that interlinked to provide a sound body of evidence in which to advance the project forward to </w:t>
      </w:r>
      <w:r>
        <w:t>S</w:t>
      </w:r>
      <w:r w:rsidRPr="7659E78B">
        <w:t>tage t</w:t>
      </w:r>
      <w:r>
        <w:t>hree</w:t>
      </w:r>
      <w:r w:rsidRPr="7659E78B">
        <w:t xml:space="preserve"> of the study. </w:t>
      </w:r>
      <w:r>
        <w:t xml:space="preserve">  </w:t>
      </w:r>
      <w:r>
        <w:rPr>
          <w:rFonts w:ascii="Calibri" w:eastAsia="Calibri" w:hAnsi="Calibri" w:cs="Calibri"/>
          <w:color w:val="000000" w:themeColor="text1"/>
        </w:rPr>
        <w:t>Stage</w:t>
      </w:r>
      <w:r w:rsidRPr="7659E78B">
        <w:rPr>
          <w:rFonts w:ascii="Calibri" w:eastAsia="Calibri" w:hAnsi="Calibri" w:cs="Calibri"/>
          <w:color w:val="000000" w:themeColor="text1"/>
        </w:rPr>
        <w:t xml:space="preserve"> </w:t>
      </w:r>
      <w:r>
        <w:rPr>
          <w:rFonts w:ascii="Calibri" w:eastAsia="Calibri" w:hAnsi="Calibri" w:cs="Calibri"/>
          <w:color w:val="000000" w:themeColor="text1"/>
        </w:rPr>
        <w:t>three</w:t>
      </w:r>
      <w:r w:rsidRPr="7659E78B">
        <w:rPr>
          <w:rFonts w:ascii="Calibri" w:eastAsia="Calibri" w:hAnsi="Calibri" w:cs="Calibri"/>
          <w:color w:val="000000" w:themeColor="text1"/>
        </w:rPr>
        <w:t xml:space="preserve"> consisted of collecting and synthesising the information and data obtained from </w:t>
      </w:r>
      <w:r>
        <w:rPr>
          <w:rFonts w:ascii="Calibri" w:eastAsia="Calibri" w:hAnsi="Calibri" w:cs="Calibri"/>
          <w:color w:val="000000" w:themeColor="text1"/>
        </w:rPr>
        <w:t>S</w:t>
      </w:r>
      <w:r w:rsidRPr="7659E78B">
        <w:rPr>
          <w:rFonts w:ascii="Calibri" w:eastAsia="Calibri" w:hAnsi="Calibri" w:cs="Calibri"/>
          <w:color w:val="000000" w:themeColor="text1"/>
        </w:rPr>
        <w:t xml:space="preserve">tage </w:t>
      </w:r>
      <w:r>
        <w:rPr>
          <w:rFonts w:ascii="Calibri" w:eastAsia="Calibri" w:hAnsi="Calibri" w:cs="Calibri"/>
          <w:color w:val="000000" w:themeColor="text1"/>
        </w:rPr>
        <w:t>two</w:t>
      </w:r>
      <w:r w:rsidRPr="7659E78B">
        <w:rPr>
          <w:rFonts w:ascii="Calibri" w:eastAsia="Calibri" w:hAnsi="Calibri" w:cs="Calibri"/>
          <w:color w:val="000000" w:themeColor="text1"/>
        </w:rPr>
        <w:t xml:space="preserve"> to develop a </w:t>
      </w:r>
      <w:r>
        <w:rPr>
          <w:rFonts w:ascii="Calibri" w:eastAsia="Calibri" w:hAnsi="Calibri" w:cs="Calibri"/>
          <w:color w:val="000000" w:themeColor="text1"/>
        </w:rPr>
        <w:t>resilience</w:t>
      </w:r>
      <w:r w:rsidRPr="7659E78B">
        <w:rPr>
          <w:rFonts w:ascii="Calibri" w:eastAsia="Calibri" w:hAnsi="Calibri" w:cs="Calibri"/>
          <w:color w:val="000000" w:themeColor="text1"/>
        </w:rPr>
        <w:t xml:space="preserve"> measuring </w:t>
      </w:r>
      <w:r w:rsidR="00430EFF">
        <w:rPr>
          <w:rFonts w:ascii="Calibri" w:eastAsia="Calibri" w:hAnsi="Calibri" w:cs="Calibri"/>
          <w:color w:val="000000" w:themeColor="text1"/>
        </w:rPr>
        <w:t xml:space="preserve">tool that would enable organisations to explore their supply chain resilience behaviours and identify opportunities for improvement.  </w:t>
      </w:r>
      <w:r w:rsidRPr="7659E78B">
        <w:rPr>
          <w:rFonts w:ascii="Calibri" w:eastAsia="Calibri" w:hAnsi="Calibri" w:cs="Calibri"/>
          <w:color w:val="000000" w:themeColor="text1"/>
        </w:rPr>
        <w:t xml:space="preserve"> </w:t>
      </w:r>
      <w:r>
        <w:rPr>
          <w:rFonts w:ascii="Calibri" w:eastAsia="Calibri" w:hAnsi="Calibri" w:cs="Calibri"/>
          <w:color w:val="000000" w:themeColor="text1"/>
        </w:rPr>
        <w:t xml:space="preserve">Stage four of the project was focused on the dissemination of results and engagement with the research and industrial community. </w:t>
      </w:r>
      <w:r w:rsidR="00463AEA">
        <w:rPr>
          <w:rFonts w:ascii="Calibri" w:eastAsia="Calibri" w:hAnsi="Calibri" w:cs="Calibri"/>
          <w:color w:val="000000" w:themeColor="text1"/>
        </w:rPr>
        <w:t xml:space="preserve"> </w:t>
      </w:r>
    </w:p>
    <w:p w14:paraId="22943F3D" w14:textId="2C4AC1E8" w:rsidR="003C5484" w:rsidRDefault="003C5484" w:rsidP="003C5484">
      <w:pPr>
        <w:spacing w:after="0" w:line="276" w:lineRule="auto"/>
        <w:rPr>
          <w:rFonts w:ascii="Calibri" w:eastAsia="Calibri" w:hAnsi="Calibri" w:cs="Calibri"/>
          <w:color w:val="000000" w:themeColor="text1"/>
        </w:rPr>
      </w:pPr>
    </w:p>
    <w:p w14:paraId="4AFDA457" w14:textId="38057691" w:rsidR="003C5484" w:rsidRDefault="003C5484" w:rsidP="003C5484">
      <w:pPr>
        <w:spacing w:after="0" w:line="276" w:lineRule="auto"/>
        <w:rPr>
          <w:rFonts w:ascii="Calibri" w:eastAsia="Calibri" w:hAnsi="Calibri" w:cs="Calibri"/>
          <w:color w:val="000000" w:themeColor="text1"/>
        </w:rPr>
      </w:pPr>
      <w:r>
        <w:rPr>
          <w:noProof/>
        </w:rPr>
        <w:lastRenderedPageBreak/>
        <w:drawing>
          <wp:inline distT="0" distB="0" distL="0" distR="0" wp14:anchorId="44A26554" wp14:editId="413D2ABF">
            <wp:extent cx="5731510" cy="346076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324" b="-4681"/>
                    <a:stretch/>
                  </pic:blipFill>
                  <pic:spPr bwMode="auto">
                    <a:xfrm>
                      <a:off x="0" y="0"/>
                      <a:ext cx="5731510" cy="3460761"/>
                    </a:xfrm>
                    <a:prstGeom prst="rect">
                      <a:avLst/>
                    </a:prstGeom>
                    <a:noFill/>
                    <a:ln>
                      <a:noFill/>
                    </a:ln>
                    <a:extLst>
                      <a:ext uri="{53640926-AAD7-44D8-BBD7-CCE9431645EC}">
                        <a14:shadowObscured xmlns:a14="http://schemas.microsoft.com/office/drawing/2010/main"/>
                      </a:ext>
                    </a:extLst>
                  </pic:spPr>
                </pic:pic>
              </a:graphicData>
            </a:graphic>
          </wp:inline>
        </w:drawing>
      </w:r>
    </w:p>
    <w:p w14:paraId="67D36BC4" w14:textId="77777777" w:rsidR="003C5484" w:rsidRPr="007115CD" w:rsidRDefault="003C5484" w:rsidP="003C5484">
      <w:pPr>
        <w:pStyle w:val="Caption1"/>
      </w:pPr>
      <w:r>
        <w:t xml:space="preserve">Figure </w:t>
      </w:r>
      <w:r w:rsidR="00000000">
        <w:fldChar w:fldCharType="begin"/>
      </w:r>
      <w:r w:rsidR="00000000">
        <w:instrText xml:space="preserve"> SEQ Figure \* ARABIC </w:instrText>
      </w:r>
      <w:r w:rsidR="00000000">
        <w:fldChar w:fldCharType="separate"/>
      </w:r>
      <w:r>
        <w:rPr>
          <w:noProof/>
        </w:rPr>
        <w:t>2</w:t>
      </w:r>
      <w:r w:rsidR="00000000">
        <w:rPr>
          <w:noProof/>
        </w:rPr>
        <w:fldChar w:fldCharType="end"/>
      </w:r>
      <w:r>
        <w:t xml:space="preserve">: </w:t>
      </w:r>
      <w:r w:rsidRPr="007115CD">
        <w:rPr>
          <w:bCs/>
        </w:rPr>
        <w:t>F</w:t>
      </w:r>
      <w:r w:rsidRPr="007115CD">
        <w:t>our stages of the MEECE project include (a) Stage 1: Scoping; (b) Stage 2:</w:t>
      </w:r>
      <w:r>
        <w:t xml:space="preserve"> Data collection</w:t>
      </w:r>
      <w:r w:rsidRPr="007115CD">
        <w:t>;</w:t>
      </w:r>
      <w:r>
        <w:t xml:space="preserve"> </w:t>
      </w:r>
      <w:r w:rsidRPr="007115CD">
        <w:t>(c) Stage 3:</w:t>
      </w:r>
      <w:r>
        <w:t xml:space="preserve"> Measurement tool development</w:t>
      </w:r>
      <w:r w:rsidRPr="007115CD">
        <w:t xml:space="preserve">; </w:t>
      </w:r>
      <w:r>
        <w:t>and</w:t>
      </w:r>
      <w:r w:rsidRPr="007115CD">
        <w:t xml:space="preserve"> (d) Stage 4: Dissemination. </w:t>
      </w:r>
    </w:p>
    <w:p w14:paraId="4381D81D" w14:textId="77777777" w:rsidR="003C5484" w:rsidRDefault="003C5484" w:rsidP="000F5E98">
      <w:pPr>
        <w:pStyle w:val="xxparagraph"/>
        <w:shd w:val="clear" w:color="auto" w:fill="FFFFFF"/>
        <w:spacing w:before="0" w:after="0" w:afterAutospacing="0"/>
        <w:ind w:left="1065"/>
        <w:jc w:val="both"/>
        <w:textAlignment w:val="baseline"/>
        <w:rPr>
          <w:color w:val="242424"/>
        </w:rPr>
      </w:pPr>
    </w:p>
    <w:p w14:paraId="3DBA7167" w14:textId="38E55730" w:rsidR="000F5E98" w:rsidRPr="00DF4E61" w:rsidRDefault="000F5E98" w:rsidP="00DF4E61">
      <w:pPr>
        <w:pStyle w:val="xxparagraph"/>
        <w:shd w:val="clear" w:color="auto" w:fill="FFFFFF"/>
        <w:spacing w:before="0" w:after="0" w:afterAutospacing="0"/>
        <w:jc w:val="both"/>
        <w:textAlignment w:val="baseline"/>
        <w:rPr>
          <w:rStyle w:val="xxeop"/>
          <w:rFonts w:ascii="Calibri" w:hAnsi="Calibri" w:cs="Calibri"/>
          <w:b/>
          <w:bCs/>
          <w:color w:val="242424"/>
          <w:bdr w:val="none" w:sz="0" w:space="0" w:color="auto" w:frame="1"/>
        </w:rPr>
      </w:pPr>
      <w:r w:rsidRPr="00DF4E61">
        <w:rPr>
          <w:rStyle w:val="xxnormaltextrun"/>
          <w:rFonts w:ascii="Calibri" w:hAnsi="Calibri" w:cs="Calibri"/>
          <w:b/>
          <w:bCs/>
          <w:color w:val="242424"/>
          <w:bdr w:val="none" w:sz="0" w:space="0" w:color="auto" w:frame="1"/>
        </w:rPr>
        <w:t>Discussion (including results where appropriate)</w:t>
      </w:r>
      <w:r w:rsidRPr="00DF4E61">
        <w:rPr>
          <w:rStyle w:val="xxeop"/>
          <w:rFonts w:ascii="Calibri" w:hAnsi="Calibri" w:cs="Calibri"/>
          <w:b/>
          <w:bCs/>
          <w:color w:val="242424"/>
          <w:bdr w:val="none" w:sz="0" w:space="0" w:color="auto" w:frame="1"/>
        </w:rPr>
        <w:t> </w:t>
      </w:r>
    </w:p>
    <w:p w14:paraId="45DA74A8" w14:textId="06345A5D" w:rsidR="00DF4E61" w:rsidRPr="007C2B86" w:rsidRDefault="00222697" w:rsidP="00DF4E61">
      <w:pPr>
        <w:pStyle w:val="xxparagraph"/>
        <w:shd w:val="clear" w:color="auto" w:fill="FFFFFF"/>
        <w:spacing w:before="0" w:after="0" w:afterAutospacing="0"/>
        <w:jc w:val="both"/>
        <w:textAlignment w:val="baseline"/>
        <w:rPr>
          <w:rStyle w:val="xxeop"/>
          <w:rFonts w:asciiTheme="minorHAnsi" w:hAnsiTheme="minorHAnsi" w:cstheme="minorHAnsi"/>
          <w:color w:val="242424"/>
          <w:sz w:val="22"/>
          <w:szCs w:val="22"/>
          <w:bdr w:val="none" w:sz="0" w:space="0" w:color="auto" w:frame="1"/>
        </w:rPr>
      </w:pPr>
      <w:r w:rsidRPr="007C2B86">
        <w:rPr>
          <w:rStyle w:val="xxeop"/>
          <w:rFonts w:asciiTheme="minorHAnsi" w:hAnsiTheme="minorHAnsi" w:cstheme="minorHAnsi"/>
          <w:color w:val="242424"/>
          <w:sz w:val="22"/>
          <w:szCs w:val="22"/>
          <w:bdr w:val="none" w:sz="0" w:space="0" w:color="auto" w:frame="1"/>
        </w:rPr>
        <w:t>The research enabled us to develop a supply chain resilience tool</w:t>
      </w:r>
      <w:r w:rsidR="00217625" w:rsidRPr="007C2B86">
        <w:rPr>
          <w:rStyle w:val="xxeop"/>
          <w:rFonts w:asciiTheme="minorHAnsi" w:hAnsiTheme="minorHAnsi" w:cstheme="minorHAnsi"/>
          <w:color w:val="242424"/>
          <w:sz w:val="22"/>
          <w:szCs w:val="22"/>
          <w:bdr w:val="none" w:sz="0" w:space="0" w:color="auto" w:frame="1"/>
        </w:rPr>
        <w:t xml:space="preserve"> which we named the Resilience</w:t>
      </w:r>
      <w:r w:rsidR="00C87EEC" w:rsidRPr="007C2B86">
        <w:rPr>
          <w:rStyle w:val="xxeop"/>
          <w:rFonts w:asciiTheme="minorHAnsi" w:hAnsiTheme="minorHAnsi" w:cstheme="minorHAnsi"/>
          <w:color w:val="242424"/>
          <w:sz w:val="22"/>
          <w:szCs w:val="22"/>
          <w:bdr w:val="none" w:sz="0" w:space="0" w:color="auto" w:frame="1"/>
        </w:rPr>
        <w:t xml:space="preserve"> </w:t>
      </w:r>
      <w:r w:rsidR="00217625" w:rsidRPr="007C2B86">
        <w:rPr>
          <w:rStyle w:val="xxeop"/>
          <w:rFonts w:asciiTheme="minorHAnsi" w:hAnsiTheme="minorHAnsi" w:cstheme="minorHAnsi"/>
          <w:color w:val="242424"/>
          <w:sz w:val="22"/>
          <w:szCs w:val="22"/>
          <w:bdr w:val="none" w:sz="0" w:space="0" w:color="auto" w:frame="1"/>
        </w:rPr>
        <w:t>Barometer</w:t>
      </w:r>
      <w:r w:rsidR="000E32D7" w:rsidRPr="007C2B86">
        <w:rPr>
          <w:rStyle w:val="xxeop"/>
          <w:rFonts w:asciiTheme="minorHAnsi" w:hAnsiTheme="minorHAnsi" w:cstheme="minorHAnsi"/>
          <w:color w:val="242424"/>
          <w:sz w:val="22"/>
          <w:szCs w:val="22"/>
          <w:bdr w:val="none" w:sz="0" w:space="0" w:color="auto" w:frame="1"/>
        </w:rPr>
        <w:t>.</w:t>
      </w:r>
      <w:r w:rsidR="000E32D7" w:rsidRPr="007C2B86">
        <w:rPr>
          <w:rFonts w:asciiTheme="minorHAnsi" w:hAnsiTheme="minorHAnsi" w:cstheme="minorHAnsi"/>
          <w:sz w:val="22"/>
          <w:szCs w:val="22"/>
        </w:rPr>
        <w:t xml:space="preserve"> </w:t>
      </w:r>
      <w:r w:rsidR="00BB4958" w:rsidRPr="007C2B86">
        <w:rPr>
          <w:rFonts w:asciiTheme="minorHAnsi" w:hAnsiTheme="minorHAnsi" w:cstheme="minorHAnsi"/>
          <w:sz w:val="22"/>
          <w:szCs w:val="22"/>
        </w:rPr>
        <w:t xml:space="preserve">Utilising the structures and the methods of the </w:t>
      </w:r>
      <w:r w:rsidR="00BB4958" w:rsidRPr="007C2B86">
        <w:rPr>
          <w:rFonts w:asciiTheme="minorHAnsi" w:hAnsiTheme="minorHAnsi" w:cstheme="minorHAnsi"/>
          <w:sz w:val="22"/>
          <w:szCs w:val="22"/>
        </w:rPr>
        <w:t xml:space="preserve">Organisational </w:t>
      </w:r>
      <w:r w:rsidR="00531439" w:rsidRPr="007C2B86">
        <w:rPr>
          <w:rFonts w:asciiTheme="minorHAnsi" w:hAnsiTheme="minorHAnsi" w:cstheme="minorHAnsi"/>
          <w:sz w:val="22"/>
          <w:szCs w:val="22"/>
        </w:rPr>
        <w:t>Learning Capability (</w:t>
      </w:r>
      <w:r w:rsidR="00BB4958" w:rsidRPr="007C2B86">
        <w:rPr>
          <w:rFonts w:asciiTheme="minorHAnsi" w:hAnsiTheme="minorHAnsi" w:cstheme="minorHAnsi"/>
          <w:sz w:val="22"/>
          <w:szCs w:val="22"/>
        </w:rPr>
        <w:t>OLC</w:t>
      </w:r>
      <w:r w:rsidR="00531439" w:rsidRPr="007C2B86">
        <w:rPr>
          <w:rFonts w:asciiTheme="minorHAnsi" w:hAnsiTheme="minorHAnsi" w:cstheme="minorHAnsi"/>
          <w:sz w:val="22"/>
          <w:szCs w:val="22"/>
        </w:rPr>
        <w:t>)</w:t>
      </w:r>
      <w:r w:rsidR="00BB4958" w:rsidRPr="007C2B86">
        <w:rPr>
          <w:rFonts w:asciiTheme="minorHAnsi" w:hAnsiTheme="minorHAnsi" w:cstheme="minorHAnsi"/>
          <w:sz w:val="22"/>
          <w:szCs w:val="22"/>
        </w:rPr>
        <w:t xml:space="preserve">, </w:t>
      </w:r>
      <w:r w:rsidR="00531439" w:rsidRPr="007C2B86">
        <w:rPr>
          <w:rFonts w:asciiTheme="minorHAnsi" w:hAnsiTheme="minorHAnsi" w:cstheme="minorHAnsi"/>
          <w:sz w:val="22"/>
          <w:szCs w:val="22"/>
        </w:rPr>
        <w:t>Group Consensus Theory (</w:t>
      </w:r>
      <w:r w:rsidR="00BB4958" w:rsidRPr="007C2B86">
        <w:rPr>
          <w:rFonts w:asciiTheme="minorHAnsi" w:hAnsiTheme="minorHAnsi" w:cstheme="minorHAnsi"/>
          <w:sz w:val="22"/>
          <w:szCs w:val="22"/>
        </w:rPr>
        <w:t>GCT</w:t>
      </w:r>
      <w:r w:rsidR="00531439" w:rsidRPr="007C2B86">
        <w:rPr>
          <w:rFonts w:asciiTheme="minorHAnsi" w:hAnsiTheme="minorHAnsi" w:cstheme="minorHAnsi"/>
          <w:sz w:val="22"/>
          <w:szCs w:val="22"/>
        </w:rPr>
        <w:t>)</w:t>
      </w:r>
      <w:r w:rsidR="002D3E2C">
        <w:rPr>
          <w:rFonts w:asciiTheme="minorHAnsi" w:hAnsiTheme="minorHAnsi" w:cstheme="minorHAnsi"/>
          <w:sz w:val="22"/>
          <w:szCs w:val="22"/>
        </w:rPr>
        <w:t xml:space="preserve"> (Thomas et al, 2018)</w:t>
      </w:r>
      <w:r w:rsidR="00BB4958" w:rsidRPr="007C2B86">
        <w:rPr>
          <w:rFonts w:asciiTheme="minorHAnsi" w:hAnsiTheme="minorHAnsi" w:cstheme="minorHAnsi"/>
          <w:sz w:val="22"/>
          <w:szCs w:val="22"/>
        </w:rPr>
        <w:t xml:space="preserve"> and </w:t>
      </w:r>
      <w:r w:rsidR="00531439" w:rsidRPr="007C2B86">
        <w:rPr>
          <w:rFonts w:asciiTheme="minorHAnsi" w:hAnsiTheme="minorHAnsi" w:cstheme="minorHAnsi"/>
          <w:sz w:val="22"/>
          <w:szCs w:val="22"/>
        </w:rPr>
        <w:t xml:space="preserve">Supply Chain </w:t>
      </w:r>
      <w:r w:rsidR="00BB4958" w:rsidRPr="007C2B86">
        <w:rPr>
          <w:rFonts w:asciiTheme="minorHAnsi" w:hAnsiTheme="minorHAnsi" w:cstheme="minorHAnsi"/>
          <w:sz w:val="22"/>
          <w:szCs w:val="22"/>
        </w:rPr>
        <w:t>Quick scan</w:t>
      </w:r>
      <w:r w:rsidR="006E13F9">
        <w:rPr>
          <w:rFonts w:asciiTheme="minorHAnsi" w:hAnsiTheme="minorHAnsi" w:cstheme="minorHAnsi"/>
          <w:sz w:val="22"/>
          <w:szCs w:val="22"/>
        </w:rPr>
        <w:t xml:space="preserve"> (Naim et al, 2002)</w:t>
      </w:r>
      <w:r w:rsidR="00BB4958" w:rsidRPr="007C2B86">
        <w:rPr>
          <w:rFonts w:asciiTheme="minorHAnsi" w:hAnsiTheme="minorHAnsi" w:cstheme="minorHAnsi"/>
          <w:sz w:val="22"/>
          <w:szCs w:val="22"/>
        </w:rPr>
        <w:t xml:space="preserve"> tools, a prototype resilience measuring tool was developed, this tool is termed as the ‘Resilience Barometer’ (RB) as it provides a measure of a company’s resilience under changing conditions. The Resilience Barometer (RB) has been designed so that it can be used within a single organisation to provide a resilience readiness profile that is constructed from the analysis of thirty key resilience variables highlighted later in this report. However, it is more powerfully utilised with a group of companies to explore a linked supply chain readiness map (allowing the readiness maps of a series of companies to be measured and a collaborative approach to optimisation can therefore take place). </w:t>
      </w:r>
      <w:r w:rsidR="00217625" w:rsidRPr="007C2B86">
        <w:rPr>
          <w:rFonts w:asciiTheme="minorHAnsi" w:eastAsia="Calibri" w:hAnsiTheme="minorHAnsi" w:cstheme="minorHAnsi"/>
          <w:color w:val="000000" w:themeColor="text1"/>
          <w:sz w:val="22"/>
          <w:szCs w:val="22"/>
        </w:rPr>
        <w:t>The tool enabled the team to understand the current overall supply chain resilience performance of companies in Wales and identify areas of good practice within companies but also identify areas required for improvement so targeted interventions could be actioned.</w:t>
      </w:r>
      <w:r w:rsidR="00217625" w:rsidRPr="007C2B86">
        <w:rPr>
          <w:rFonts w:asciiTheme="minorHAnsi" w:eastAsia="Calibri" w:hAnsiTheme="minorHAnsi" w:cstheme="minorHAnsi"/>
          <w:color w:val="000000" w:themeColor="text1"/>
          <w:sz w:val="22"/>
          <w:szCs w:val="22"/>
        </w:rPr>
        <w:t xml:space="preserve"> </w:t>
      </w:r>
    </w:p>
    <w:p w14:paraId="49A6B7B3" w14:textId="77777777" w:rsidR="00DF4E61" w:rsidRPr="007C2B86" w:rsidRDefault="00DF4E61" w:rsidP="00DF4E61">
      <w:pPr>
        <w:pStyle w:val="xxparagraph"/>
        <w:shd w:val="clear" w:color="auto" w:fill="FFFFFF"/>
        <w:spacing w:before="0" w:after="0" w:afterAutospacing="0"/>
        <w:jc w:val="both"/>
        <w:textAlignment w:val="baseline"/>
        <w:rPr>
          <w:rFonts w:asciiTheme="minorHAnsi" w:hAnsiTheme="minorHAnsi" w:cstheme="minorHAnsi"/>
          <w:color w:val="242424"/>
          <w:sz w:val="22"/>
          <w:szCs w:val="22"/>
        </w:rPr>
      </w:pPr>
    </w:p>
    <w:p w14:paraId="349D5728" w14:textId="500D6B0F" w:rsidR="000F5E98" w:rsidRPr="00DF4E61" w:rsidRDefault="000F5E98" w:rsidP="00DF4E61">
      <w:pPr>
        <w:pStyle w:val="xxparagraph"/>
        <w:shd w:val="clear" w:color="auto" w:fill="FFFFFF"/>
        <w:spacing w:before="0" w:after="0" w:afterAutospacing="0"/>
        <w:jc w:val="both"/>
        <w:textAlignment w:val="baseline"/>
        <w:rPr>
          <w:rStyle w:val="xxeop"/>
          <w:rFonts w:ascii="Calibri" w:hAnsi="Calibri" w:cs="Calibri"/>
          <w:b/>
          <w:bCs/>
          <w:color w:val="242424"/>
          <w:bdr w:val="none" w:sz="0" w:space="0" w:color="auto" w:frame="1"/>
        </w:rPr>
      </w:pPr>
      <w:r w:rsidRPr="00DF4E61">
        <w:rPr>
          <w:rStyle w:val="xxnormaltextrun"/>
          <w:rFonts w:ascii="Calibri" w:hAnsi="Calibri" w:cs="Calibri"/>
          <w:b/>
          <w:bCs/>
          <w:color w:val="242424"/>
          <w:bdr w:val="none" w:sz="0" w:space="0" w:color="auto" w:frame="1"/>
        </w:rPr>
        <w:t>Conclusions/implications</w:t>
      </w:r>
      <w:r w:rsidRPr="00DF4E61">
        <w:rPr>
          <w:rStyle w:val="xxeop"/>
          <w:rFonts w:ascii="Calibri" w:hAnsi="Calibri" w:cs="Calibri"/>
          <w:b/>
          <w:bCs/>
          <w:color w:val="242424"/>
          <w:bdr w:val="none" w:sz="0" w:space="0" w:color="auto" w:frame="1"/>
        </w:rPr>
        <w:t> </w:t>
      </w:r>
    </w:p>
    <w:p w14:paraId="64DE387C" w14:textId="4B2D5F1F" w:rsidR="00064FC8" w:rsidRPr="007A10AE" w:rsidRDefault="00064FC8" w:rsidP="00E603FD">
      <w:pPr>
        <w:jc w:val="both"/>
        <w:rPr>
          <w:bdr w:val="none" w:sz="0" w:space="0" w:color="auto" w:frame="1"/>
        </w:rPr>
      </w:pPr>
      <w:r>
        <w:rPr>
          <w:bdr w:val="none" w:sz="0" w:space="0" w:color="auto" w:frame="1"/>
        </w:rPr>
        <w:t xml:space="preserve">Undertaking the supply chain resilience research highlighted the need for a measurement tool which could be utilised by the MRE sector to examine and instigate improvement interventions to improve its resilience to ensure it implements robust strategies and engages in resilient practices throughout the supply chain.  </w:t>
      </w:r>
      <w:r w:rsidRPr="00827C13">
        <w:rPr>
          <w:bdr w:val="none" w:sz="0" w:space="0" w:color="auto" w:frame="1"/>
        </w:rPr>
        <w:t xml:space="preserve">The Resilience Barometer has been trialled and now needs to be applied within organisations. The research and continued application of the Resilience Barometer offers an </w:t>
      </w:r>
      <w:r w:rsidRPr="00827C13">
        <w:rPr>
          <w:rFonts w:ascii="Calibri" w:eastAsia="Calibri" w:hAnsi="Calibri" w:cs="Calibri"/>
        </w:rPr>
        <w:t xml:space="preserve">opportunity to develop innovative supply chain development strategies focused on resilience </w:t>
      </w:r>
      <w:r w:rsidRPr="00827C13">
        <w:rPr>
          <w:rFonts w:ascii="Calibri" w:eastAsia="Calibri" w:hAnsi="Calibri" w:cs="Calibri"/>
        </w:rPr>
        <w:lastRenderedPageBreak/>
        <w:t xml:space="preserve">behaviours and performance. Establishing and managing resilient supply chain strategies enables the Welsh MRE sector to close the gap between supply and demand by ensuring the supply chain is </w:t>
      </w:r>
      <w:proofErr w:type="gramStart"/>
      <w:r w:rsidRPr="00827C13">
        <w:rPr>
          <w:rFonts w:ascii="Calibri" w:eastAsia="Calibri" w:hAnsi="Calibri" w:cs="Calibri"/>
        </w:rPr>
        <w:t>in a position</w:t>
      </w:r>
      <w:proofErr w:type="gramEnd"/>
      <w:r w:rsidRPr="00827C13">
        <w:rPr>
          <w:rFonts w:ascii="Calibri" w:eastAsia="Calibri" w:hAnsi="Calibri" w:cs="Calibri"/>
        </w:rPr>
        <w:t xml:space="preserve"> to confidently respond to risks and disruptions as well as focus on the challenges of capacity growth and increasing competition</w:t>
      </w:r>
      <w:r>
        <w:rPr>
          <w:rFonts w:ascii="Calibri" w:eastAsia="Calibri" w:hAnsi="Calibri" w:cs="Calibri"/>
        </w:rPr>
        <w:t xml:space="preserve">.   </w:t>
      </w:r>
    </w:p>
    <w:p w14:paraId="7BB8436D" w14:textId="77777777" w:rsidR="00064FC8" w:rsidRDefault="00064FC8" w:rsidP="00E603FD">
      <w:pPr>
        <w:pStyle w:val="xxparagraph"/>
        <w:shd w:val="clear" w:color="auto" w:fill="FFFFFF"/>
        <w:spacing w:before="0" w:after="0" w:afterAutospacing="0"/>
        <w:ind w:left="1065"/>
        <w:jc w:val="both"/>
        <w:textAlignment w:val="baseline"/>
        <w:rPr>
          <w:color w:val="242424"/>
        </w:rPr>
      </w:pPr>
    </w:p>
    <w:p w14:paraId="13257219" w14:textId="63352FB9" w:rsidR="000F5E98" w:rsidRPr="00AF0357" w:rsidRDefault="000F5E98" w:rsidP="00AF0357">
      <w:pPr>
        <w:pStyle w:val="xxparagraph"/>
        <w:shd w:val="clear" w:color="auto" w:fill="FFFFFF"/>
        <w:spacing w:before="0" w:after="0" w:afterAutospacing="0"/>
        <w:jc w:val="both"/>
        <w:textAlignment w:val="baseline"/>
        <w:rPr>
          <w:b/>
          <w:bCs/>
          <w:color w:val="242424"/>
        </w:rPr>
      </w:pPr>
      <w:r w:rsidRPr="00AF0357">
        <w:rPr>
          <w:rStyle w:val="xxnormaltextrun"/>
          <w:rFonts w:ascii="Calibri" w:hAnsi="Calibri" w:cs="Calibri"/>
          <w:b/>
          <w:bCs/>
          <w:color w:val="242424"/>
          <w:bdr w:val="none" w:sz="0" w:space="0" w:color="auto" w:frame="1"/>
        </w:rPr>
        <w:t xml:space="preserve">References </w:t>
      </w:r>
    </w:p>
    <w:p w14:paraId="44842144" w14:textId="77777777" w:rsidR="000F5E98" w:rsidRDefault="000F5E98" w:rsidP="001605A0">
      <w:pPr>
        <w:jc w:val="both"/>
        <w:rPr>
          <w:lang w:val="en-US"/>
        </w:rPr>
      </w:pPr>
    </w:p>
    <w:p w14:paraId="5C4260D6" w14:textId="2B711B68" w:rsidR="007A66F5" w:rsidRDefault="00354846" w:rsidP="001605A0">
      <w:pPr>
        <w:jc w:val="both"/>
      </w:pPr>
      <w:hyperlink r:id="rId9" w:history="1">
        <w:r>
          <w:rPr>
            <w:rStyle w:val="Hyperlink"/>
          </w:rPr>
          <w:t>Electricity to be 100% renewable by 2035, say Welsh ministers - BBC News</w:t>
        </w:r>
      </w:hyperlink>
    </w:p>
    <w:p w14:paraId="552B9C5D" w14:textId="77777777" w:rsidR="00F402CF" w:rsidRDefault="00F402CF" w:rsidP="00386C2F">
      <w:pPr>
        <w:jc w:val="both"/>
        <w:rPr>
          <w:rFonts w:ascii="Calibri" w:eastAsia="Calibri" w:hAnsi="Calibri" w:cs="Calibri"/>
          <w:noProof/>
        </w:rPr>
      </w:pPr>
      <w:r w:rsidRPr="0CC7C648">
        <w:rPr>
          <w:rFonts w:ascii="Calibri" w:eastAsia="Calibri" w:hAnsi="Calibri" w:cs="Calibri"/>
          <w:noProof/>
        </w:rPr>
        <w:t xml:space="preserve">Craighead, C. W., Blackhurst, J., Rungtusanatham, M. J. &amp; Handfield, R. B. </w:t>
      </w:r>
      <w:r w:rsidRPr="11DF8530">
        <w:rPr>
          <w:rFonts w:ascii="Calibri" w:eastAsia="Calibri" w:hAnsi="Calibri" w:cs="Calibri"/>
          <w:noProof/>
        </w:rPr>
        <w:t>(</w:t>
      </w:r>
      <w:r w:rsidRPr="0CC7C648">
        <w:rPr>
          <w:rFonts w:ascii="Calibri" w:eastAsia="Calibri" w:hAnsi="Calibri" w:cs="Calibri"/>
          <w:noProof/>
        </w:rPr>
        <w:t>2007</w:t>
      </w:r>
      <w:r w:rsidRPr="11DF8530">
        <w:rPr>
          <w:rFonts w:ascii="Calibri" w:eastAsia="Calibri" w:hAnsi="Calibri" w:cs="Calibri"/>
          <w:noProof/>
        </w:rPr>
        <w:t>).</w:t>
      </w:r>
      <w:r w:rsidRPr="0CC7C648">
        <w:rPr>
          <w:rFonts w:ascii="Calibri" w:eastAsia="Calibri" w:hAnsi="Calibri" w:cs="Calibri"/>
          <w:noProof/>
        </w:rPr>
        <w:t xml:space="preserve"> The Severity Of Supply Chain Disruptions: Design Characteristics And Mitigation Capabilities. Decision Sciences, 38, 131-156. </w:t>
      </w:r>
    </w:p>
    <w:p w14:paraId="3B818B58" w14:textId="79B93100" w:rsidR="00D03F77" w:rsidRDefault="00D03F77" w:rsidP="00386C2F">
      <w:pPr>
        <w:jc w:val="both"/>
      </w:pPr>
      <w:r w:rsidRPr="68372790">
        <w:rPr>
          <w:rFonts w:ascii="Calibri" w:eastAsia="Calibri" w:hAnsi="Calibri" w:cs="Calibri"/>
          <w:noProof/>
        </w:rPr>
        <w:t>Hofmann, E. (2013</w:t>
      </w:r>
      <w:r w:rsidRPr="658F966F">
        <w:rPr>
          <w:rFonts w:ascii="Calibri" w:eastAsia="Calibri" w:hAnsi="Calibri" w:cs="Calibri"/>
          <w:noProof/>
        </w:rPr>
        <w:t xml:space="preserve">). </w:t>
      </w:r>
      <w:r w:rsidRPr="68372790">
        <w:rPr>
          <w:rFonts w:ascii="Calibri" w:eastAsia="Calibri" w:hAnsi="Calibri" w:cs="Calibri"/>
          <w:noProof/>
        </w:rPr>
        <w:t>Supply Chain Management: Strategy, Planning and Operation</w:t>
      </w:r>
      <w:r w:rsidRPr="4C8B73FD">
        <w:rPr>
          <w:rFonts w:ascii="Calibri" w:eastAsia="Calibri" w:hAnsi="Calibri" w:cs="Calibri"/>
          <w:noProof/>
        </w:rPr>
        <w:t>. In</w:t>
      </w:r>
      <w:r w:rsidRPr="68372790">
        <w:rPr>
          <w:rFonts w:ascii="Calibri" w:eastAsia="Calibri" w:hAnsi="Calibri" w:cs="Calibri"/>
          <w:noProof/>
        </w:rPr>
        <w:t xml:space="preserve"> Chopra, </w:t>
      </w:r>
      <w:r w:rsidRPr="4168DA1F">
        <w:rPr>
          <w:rFonts w:ascii="Calibri" w:eastAsia="Calibri" w:hAnsi="Calibri" w:cs="Calibri"/>
          <w:noProof/>
        </w:rPr>
        <w:t xml:space="preserve">S. </w:t>
      </w:r>
      <w:r w:rsidRPr="1C2622B7">
        <w:rPr>
          <w:rFonts w:ascii="Calibri" w:eastAsia="Calibri" w:hAnsi="Calibri" w:cs="Calibri"/>
          <w:noProof/>
        </w:rPr>
        <w:t xml:space="preserve">and </w:t>
      </w:r>
      <w:r w:rsidRPr="68372790">
        <w:rPr>
          <w:rFonts w:ascii="Calibri" w:eastAsia="Calibri" w:hAnsi="Calibri" w:cs="Calibri"/>
          <w:noProof/>
        </w:rPr>
        <w:t xml:space="preserve"> Meindl,</w:t>
      </w:r>
      <w:r w:rsidRPr="1C2622B7">
        <w:rPr>
          <w:rFonts w:ascii="Calibri" w:eastAsia="Calibri" w:hAnsi="Calibri" w:cs="Calibri"/>
          <w:noProof/>
        </w:rPr>
        <w:t xml:space="preserve"> P.</w:t>
      </w:r>
      <w:r w:rsidRPr="68372790">
        <w:rPr>
          <w:rFonts w:ascii="Calibri" w:eastAsia="Calibri" w:hAnsi="Calibri" w:cs="Calibri"/>
          <w:noProof/>
        </w:rPr>
        <w:t xml:space="preserve"> 5th ed, ISBN:978-</w:t>
      </w:r>
      <w:r w:rsidRPr="4C8B73FD">
        <w:rPr>
          <w:rFonts w:ascii="Calibri" w:eastAsia="Calibri" w:hAnsi="Calibri" w:cs="Calibri"/>
          <w:noProof/>
        </w:rPr>
        <w:t>0273765226.</w:t>
      </w:r>
      <w:r w:rsidRPr="68372790">
        <w:rPr>
          <w:rFonts w:ascii="Calibri" w:eastAsia="Calibri" w:hAnsi="Calibri" w:cs="Calibri"/>
          <w:noProof/>
        </w:rPr>
        <w:t xml:space="preserve"> Journal of Purchasing and Supply Management. Elsevier Ltd, pp. 212–213. Available at: </w:t>
      </w:r>
      <w:hyperlink r:id="rId10">
        <w:r w:rsidRPr="68372790">
          <w:rPr>
            <w:rStyle w:val="Hyperlink"/>
            <w:rFonts w:ascii="Calibri" w:eastAsia="Calibri" w:hAnsi="Calibri" w:cs="Calibri"/>
            <w:noProof/>
          </w:rPr>
          <w:t>https://doi.org/10.1016/j.pursup.2013.07.003</w:t>
        </w:r>
      </w:hyperlink>
      <w:r w:rsidRPr="68372790">
        <w:rPr>
          <w:rFonts w:ascii="Calibri" w:eastAsia="Calibri" w:hAnsi="Calibri" w:cs="Calibri"/>
          <w:noProof/>
        </w:rPr>
        <w:t>.</w:t>
      </w:r>
    </w:p>
    <w:p w14:paraId="376913DB" w14:textId="45705DC9" w:rsidR="00F402CF" w:rsidRDefault="00D9441E" w:rsidP="00386C2F">
      <w:pPr>
        <w:jc w:val="both"/>
        <w:rPr>
          <w:rFonts w:ascii="Calibri" w:eastAsia="Calibri" w:hAnsi="Calibri" w:cs="Calibri"/>
          <w:noProof/>
        </w:rPr>
      </w:pPr>
      <w:r w:rsidRPr="68372790">
        <w:rPr>
          <w:rFonts w:ascii="Calibri" w:eastAsia="Calibri" w:hAnsi="Calibri" w:cs="Calibri"/>
          <w:noProof/>
        </w:rPr>
        <w:t>Khalili, S.M., Jolai, F. and Torabi, S.A. (2017</w:t>
      </w:r>
      <w:r w:rsidRPr="2717C3FF">
        <w:rPr>
          <w:rFonts w:ascii="Calibri" w:eastAsia="Calibri" w:hAnsi="Calibri" w:cs="Calibri"/>
          <w:noProof/>
        </w:rPr>
        <w:t xml:space="preserve">). </w:t>
      </w:r>
      <w:r w:rsidRPr="11EACBBA">
        <w:rPr>
          <w:rFonts w:ascii="Calibri" w:eastAsia="Calibri" w:hAnsi="Calibri" w:cs="Calibri"/>
          <w:noProof/>
        </w:rPr>
        <w:t>Integrated</w:t>
      </w:r>
      <w:r w:rsidRPr="2717C3FF">
        <w:rPr>
          <w:rFonts w:ascii="Calibri" w:eastAsia="Calibri" w:hAnsi="Calibri" w:cs="Calibri"/>
          <w:noProof/>
        </w:rPr>
        <w:t xml:space="preserve"> Production</w:t>
      </w:r>
      <w:r w:rsidRPr="68372790">
        <w:rPr>
          <w:rFonts w:ascii="Calibri" w:eastAsia="Calibri" w:hAnsi="Calibri" w:cs="Calibri"/>
          <w:noProof/>
        </w:rPr>
        <w:t xml:space="preserve">-distribution </w:t>
      </w:r>
      <w:r w:rsidRPr="2717C3FF">
        <w:rPr>
          <w:rFonts w:ascii="Calibri" w:eastAsia="Calibri" w:hAnsi="Calibri" w:cs="Calibri"/>
          <w:noProof/>
        </w:rPr>
        <w:t>Planning In Two</w:t>
      </w:r>
      <w:r w:rsidRPr="68372790">
        <w:rPr>
          <w:rFonts w:ascii="Calibri" w:eastAsia="Calibri" w:hAnsi="Calibri" w:cs="Calibri"/>
          <w:noProof/>
        </w:rPr>
        <w:t>-</w:t>
      </w:r>
      <w:r w:rsidRPr="11EACBBA">
        <w:rPr>
          <w:rFonts w:ascii="Calibri" w:eastAsia="Calibri" w:hAnsi="Calibri" w:cs="Calibri"/>
          <w:noProof/>
        </w:rPr>
        <w:t>Echelon</w:t>
      </w:r>
      <w:r w:rsidRPr="68372790">
        <w:rPr>
          <w:rFonts w:ascii="Calibri" w:eastAsia="Calibri" w:hAnsi="Calibri" w:cs="Calibri"/>
          <w:noProof/>
        </w:rPr>
        <w:t xml:space="preserve"> </w:t>
      </w:r>
      <w:r w:rsidRPr="2717C3FF">
        <w:rPr>
          <w:rFonts w:ascii="Calibri" w:eastAsia="Calibri" w:hAnsi="Calibri" w:cs="Calibri"/>
          <w:noProof/>
        </w:rPr>
        <w:t xml:space="preserve">Systems: A Resilience </w:t>
      </w:r>
      <w:r w:rsidRPr="11EACBBA">
        <w:rPr>
          <w:rFonts w:ascii="Calibri" w:eastAsia="Calibri" w:hAnsi="Calibri" w:cs="Calibri"/>
          <w:noProof/>
        </w:rPr>
        <w:t>View.</w:t>
      </w:r>
      <w:r w:rsidRPr="68372790">
        <w:rPr>
          <w:rFonts w:ascii="Calibri" w:eastAsia="Calibri" w:hAnsi="Calibri" w:cs="Calibri"/>
          <w:noProof/>
        </w:rPr>
        <w:t xml:space="preserve"> International </w:t>
      </w:r>
      <w:r w:rsidRPr="2717C3FF">
        <w:rPr>
          <w:rFonts w:ascii="Calibri" w:eastAsia="Calibri" w:hAnsi="Calibri" w:cs="Calibri"/>
          <w:noProof/>
        </w:rPr>
        <w:t>Journal Of Production Research</w:t>
      </w:r>
      <w:r w:rsidRPr="11EACBBA">
        <w:rPr>
          <w:rFonts w:ascii="Calibri" w:eastAsia="Calibri" w:hAnsi="Calibri" w:cs="Calibri"/>
          <w:noProof/>
        </w:rPr>
        <w:t>. Vol.</w:t>
      </w:r>
      <w:r w:rsidRPr="2717C3FF">
        <w:rPr>
          <w:rFonts w:ascii="Calibri" w:eastAsia="Calibri" w:hAnsi="Calibri" w:cs="Calibri"/>
          <w:noProof/>
        </w:rPr>
        <w:t xml:space="preserve"> 55(4), pp.</w:t>
      </w:r>
      <w:r w:rsidRPr="68372790">
        <w:rPr>
          <w:rFonts w:ascii="Calibri" w:eastAsia="Calibri" w:hAnsi="Calibri" w:cs="Calibri"/>
          <w:noProof/>
        </w:rPr>
        <w:t xml:space="preserve"> 1040–1064. Available at: </w:t>
      </w:r>
      <w:hyperlink r:id="rId11">
        <w:r w:rsidRPr="68372790">
          <w:rPr>
            <w:rStyle w:val="Hyperlink"/>
            <w:rFonts w:ascii="Calibri" w:eastAsia="Calibri" w:hAnsi="Calibri" w:cs="Calibri"/>
            <w:noProof/>
          </w:rPr>
          <w:t>https://doi.org/10.1080/00207543.2016.1213446</w:t>
        </w:r>
      </w:hyperlink>
    </w:p>
    <w:p w14:paraId="3656C4AC" w14:textId="4982BBBD" w:rsidR="007A66F5" w:rsidRDefault="007A66F5" w:rsidP="00386C2F">
      <w:pPr>
        <w:jc w:val="both"/>
        <w:rPr>
          <w:rFonts w:ascii="Calibri" w:eastAsia="Calibri" w:hAnsi="Calibri" w:cs="Calibri"/>
          <w:noProof/>
        </w:rPr>
      </w:pPr>
      <w:r w:rsidRPr="68372790">
        <w:rPr>
          <w:rFonts w:ascii="Calibri" w:eastAsia="Calibri" w:hAnsi="Calibri" w:cs="Calibri"/>
          <w:noProof/>
        </w:rPr>
        <w:t>Mason-Jones, R., Davies, P., and Thomas, A. (2019</w:t>
      </w:r>
      <w:r w:rsidRPr="157E5FBE">
        <w:rPr>
          <w:rFonts w:ascii="Calibri" w:eastAsia="Calibri" w:hAnsi="Calibri" w:cs="Calibri"/>
          <w:noProof/>
        </w:rPr>
        <w:t>).</w:t>
      </w:r>
      <w:r w:rsidRPr="68372790">
        <w:rPr>
          <w:rFonts w:ascii="Calibri" w:eastAsia="Calibri" w:hAnsi="Calibri" w:cs="Calibri"/>
          <w:noProof/>
        </w:rPr>
        <w:t xml:space="preserve"> Introducing the Theory of Constraints to </w:t>
      </w:r>
      <w:r w:rsidRPr="0B1A3924">
        <w:rPr>
          <w:rFonts w:ascii="Calibri" w:eastAsia="Calibri" w:hAnsi="Calibri" w:cs="Calibri"/>
          <w:noProof/>
        </w:rPr>
        <w:t>Explore</w:t>
      </w:r>
      <w:r w:rsidRPr="68372790">
        <w:rPr>
          <w:rFonts w:ascii="Calibri" w:eastAsia="Calibri" w:hAnsi="Calibri" w:cs="Calibri"/>
          <w:noProof/>
        </w:rPr>
        <w:t xml:space="preserve"> the </w:t>
      </w:r>
      <w:r w:rsidRPr="0B1A3924">
        <w:rPr>
          <w:rFonts w:ascii="Calibri" w:eastAsia="Calibri" w:hAnsi="Calibri" w:cs="Calibri"/>
          <w:noProof/>
        </w:rPr>
        <w:t>Tidal</w:t>
      </w:r>
      <w:r w:rsidRPr="68372790">
        <w:rPr>
          <w:rFonts w:ascii="Calibri" w:eastAsia="Calibri" w:hAnsi="Calibri" w:cs="Calibri"/>
          <w:noProof/>
        </w:rPr>
        <w:t xml:space="preserve"> and </w:t>
      </w:r>
      <w:r w:rsidRPr="541F9943">
        <w:rPr>
          <w:rFonts w:ascii="Calibri" w:eastAsia="Calibri" w:hAnsi="Calibri" w:cs="Calibri"/>
          <w:noProof/>
        </w:rPr>
        <w:t>Marine Energy Supply Chain.</w:t>
      </w:r>
      <w:r w:rsidRPr="68372790">
        <w:rPr>
          <w:rFonts w:ascii="Calibri" w:eastAsia="Calibri" w:hAnsi="Calibri" w:cs="Calibri"/>
          <w:noProof/>
        </w:rPr>
        <w:t xml:space="preserve"> EWTEC19</w:t>
      </w:r>
      <w:r w:rsidRPr="4AEDA0C6">
        <w:rPr>
          <w:rFonts w:ascii="Calibri" w:eastAsia="Calibri" w:hAnsi="Calibri" w:cs="Calibri"/>
          <w:noProof/>
        </w:rPr>
        <w:t xml:space="preserve"> Conference,</w:t>
      </w:r>
      <w:r w:rsidRPr="68372790">
        <w:rPr>
          <w:rFonts w:ascii="Calibri" w:eastAsia="Calibri" w:hAnsi="Calibri" w:cs="Calibri"/>
          <w:noProof/>
        </w:rPr>
        <w:t xml:space="preserve"> </w:t>
      </w:r>
      <w:r w:rsidRPr="541F9943">
        <w:rPr>
          <w:rFonts w:ascii="Calibri" w:eastAsia="Calibri" w:hAnsi="Calibri" w:cs="Calibri"/>
          <w:noProof/>
        </w:rPr>
        <w:t xml:space="preserve"> </w:t>
      </w:r>
      <w:r w:rsidRPr="68372790">
        <w:rPr>
          <w:rFonts w:ascii="Calibri" w:eastAsia="Calibri" w:hAnsi="Calibri" w:cs="Calibri"/>
          <w:noProof/>
        </w:rPr>
        <w:t>Naples</w:t>
      </w:r>
      <w:r w:rsidRPr="4AEDA0C6">
        <w:rPr>
          <w:rFonts w:ascii="Calibri" w:eastAsia="Calibri" w:hAnsi="Calibri" w:cs="Calibri"/>
          <w:noProof/>
        </w:rPr>
        <w:t>,</w:t>
      </w:r>
      <w:r w:rsidRPr="68372790">
        <w:rPr>
          <w:rFonts w:ascii="Calibri" w:eastAsia="Calibri" w:hAnsi="Calibri" w:cs="Calibri"/>
          <w:noProof/>
        </w:rPr>
        <w:t xml:space="preserve"> Italy</w:t>
      </w:r>
    </w:p>
    <w:p w14:paraId="518660C2" w14:textId="2B7270E2" w:rsidR="006E13F9" w:rsidRDefault="006E13F9" w:rsidP="00386C2F">
      <w:pPr>
        <w:jc w:val="both"/>
        <w:rPr>
          <w:rFonts w:ascii="Calibri" w:eastAsia="Calibri" w:hAnsi="Calibri" w:cs="Calibri"/>
          <w:noProof/>
        </w:rPr>
      </w:pPr>
      <w:r w:rsidRPr="68372790">
        <w:rPr>
          <w:rFonts w:ascii="Calibri" w:eastAsia="Calibri" w:hAnsi="Calibri" w:cs="Calibri"/>
          <w:noProof/>
        </w:rPr>
        <w:t>Naim, M.M.,  Childerhouse, P., Disney, S.M., Towill, D.R. (2002</w:t>
      </w:r>
      <w:r w:rsidRPr="1FC4CB6F">
        <w:rPr>
          <w:rFonts w:ascii="Calibri" w:eastAsia="Calibri" w:hAnsi="Calibri" w:cs="Calibri"/>
          <w:noProof/>
        </w:rPr>
        <w:t xml:space="preserve">). </w:t>
      </w:r>
      <w:r w:rsidRPr="68372790">
        <w:rPr>
          <w:rFonts w:ascii="Calibri" w:eastAsia="Calibri" w:hAnsi="Calibri" w:cs="Calibri"/>
          <w:noProof/>
        </w:rPr>
        <w:t xml:space="preserve">A </w:t>
      </w:r>
      <w:r w:rsidRPr="1FC4CB6F">
        <w:rPr>
          <w:rFonts w:ascii="Calibri" w:eastAsia="Calibri" w:hAnsi="Calibri" w:cs="Calibri"/>
          <w:noProof/>
        </w:rPr>
        <w:t xml:space="preserve">Supply Chain Diagnostic Methodology: </w:t>
      </w:r>
      <w:r w:rsidRPr="7C5BEAEA">
        <w:rPr>
          <w:rFonts w:ascii="Calibri" w:eastAsia="Calibri" w:hAnsi="Calibri" w:cs="Calibri"/>
          <w:noProof/>
        </w:rPr>
        <w:t>Determining</w:t>
      </w:r>
      <w:r w:rsidRPr="68372790">
        <w:rPr>
          <w:rFonts w:ascii="Calibri" w:eastAsia="Calibri" w:hAnsi="Calibri" w:cs="Calibri"/>
          <w:noProof/>
        </w:rPr>
        <w:t xml:space="preserve"> the </w:t>
      </w:r>
      <w:r w:rsidRPr="7C5BEAEA">
        <w:rPr>
          <w:rFonts w:ascii="Calibri" w:eastAsia="Calibri" w:hAnsi="Calibri" w:cs="Calibri"/>
          <w:noProof/>
        </w:rPr>
        <w:t>Vector</w:t>
      </w:r>
      <w:r w:rsidRPr="68372790">
        <w:rPr>
          <w:rFonts w:ascii="Calibri" w:eastAsia="Calibri" w:hAnsi="Calibri" w:cs="Calibri"/>
          <w:noProof/>
        </w:rPr>
        <w:t xml:space="preserve"> of </w:t>
      </w:r>
      <w:r w:rsidRPr="7C5BEAEA">
        <w:rPr>
          <w:rFonts w:ascii="Calibri" w:eastAsia="Calibri" w:hAnsi="Calibri" w:cs="Calibri"/>
          <w:noProof/>
        </w:rPr>
        <w:t>Change.</w:t>
      </w:r>
      <w:r w:rsidRPr="68372790">
        <w:rPr>
          <w:rFonts w:ascii="Calibri" w:eastAsia="Calibri" w:hAnsi="Calibri" w:cs="Calibri"/>
          <w:noProof/>
        </w:rPr>
        <w:t xml:space="preserve"> Computers &amp; Industrial Engineering</w:t>
      </w:r>
      <w:r w:rsidRPr="7C5BEAEA">
        <w:rPr>
          <w:rFonts w:ascii="Calibri" w:eastAsia="Calibri" w:hAnsi="Calibri" w:cs="Calibri"/>
          <w:noProof/>
        </w:rPr>
        <w:t xml:space="preserve">. </w:t>
      </w:r>
      <w:r w:rsidRPr="5B08571C">
        <w:rPr>
          <w:rFonts w:ascii="Calibri" w:eastAsia="Calibri" w:hAnsi="Calibri" w:cs="Calibri"/>
          <w:noProof/>
        </w:rPr>
        <w:t>Vol.</w:t>
      </w:r>
      <w:r w:rsidRPr="68372790">
        <w:rPr>
          <w:rFonts w:ascii="Calibri" w:eastAsia="Calibri" w:hAnsi="Calibri" w:cs="Calibri"/>
          <w:noProof/>
        </w:rPr>
        <w:t xml:space="preserve"> 43</w:t>
      </w:r>
      <w:r w:rsidRPr="5B08571C">
        <w:rPr>
          <w:rFonts w:ascii="Calibri" w:eastAsia="Calibri" w:hAnsi="Calibri" w:cs="Calibri"/>
          <w:noProof/>
        </w:rPr>
        <w:t>, pp.</w:t>
      </w:r>
      <w:r w:rsidRPr="68372790">
        <w:rPr>
          <w:rFonts w:ascii="Calibri" w:eastAsia="Calibri" w:hAnsi="Calibri" w:cs="Calibri"/>
          <w:noProof/>
        </w:rPr>
        <w:t xml:space="preserve"> 135-157. </w:t>
      </w:r>
    </w:p>
    <w:p w14:paraId="1272154A" w14:textId="77777777" w:rsidR="00703180" w:rsidRPr="00703180" w:rsidRDefault="00703180" w:rsidP="00386C2F">
      <w:pPr>
        <w:spacing w:after="0" w:line="240" w:lineRule="auto"/>
        <w:contextualSpacing/>
        <w:jc w:val="both"/>
        <w:rPr>
          <w:rFonts w:ascii="Times New Roman" w:eastAsia="Times New Roman" w:hAnsi="Times New Roman" w:cs="Times New Roman"/>
          <w:kern w:val="0"/>
          <w:sz w:val="17"/>
          <w:szCs w:val="24"/>
          <w:lang w:eastAsia="en-GB"/>
          <w14:ligatures w14:val="none"/>
        </w:rPr>
      </w:pPr>
      <w:r w:rsidRPr="00703180">
        <w:rPr>
          <w:rFonts w:asciiTheme="majorHAnsi" w:eastAsiaTheme="minorEastAsia" w:hAnsi="Goudy Old Style" w:cs="Arial"/>
          <w:kern w:val="24"/>
          <w:sz w:val="24"/>
          <w:szCs w:val="24"/>
          <w:lang w:eastAsia="en-GB"/>
          <w14:ligatures w14:val="none"/>
        </w:rPr>
        <w:t>Noble, D. R., O</w:t>
      </w:r>
      <w:r w:rsidRPr="00703180">
        <w:rPr>
          <w:rFonts w:asciiTheme="majorHAnsi" w:eastAsiaTheme="minorEastAsia" w:hAnsi="Goudy Old Style" w:cs="Arial"/>
          <w:kern w:val="24"/>
          <w:sz w:val="24"/>
          <w:szCs w:val="24"/>
          <w:lang w:eastAsia="en-GB"/>
          <w14:ligatures w14:val="none"/>
        </w:rPr>
        <w:t>’</w:t>
      </w:r>
      <w:r w:rsidRPr="00703180">
        <w:rPr>
          <w:rFonts w:asciiTheme="majorHAnsi" w:eastAsiaTheme="minorEastAsia" w:hAnsi="Goudy Old Style" w:cs="Arial"/>
          <w:kern w:val="24"/>
          <w:sz w:val="24"/>
          <w:szCs w:val="24"/>
          <w:lang w:eastAsia="en-GB"/>
          <w14:ligatures w14:val="none"/>
        </w:rPr>
        <w:t>Shea, M., Judge, F., Robles, E., Martinez, R., Khalid, F.</w:t>
      </w:r>
      <w:proofErr w:type="gramStart"/>
      <w:r w:rsidRPr="00703180">
        <w:rPr>
          <w:rFonts w:asciiTheme="majorHAnsi" w:eastAsiaTheme="minorEastAsia" w:hAnsi="Goudy Old Style" w:cs="Arial"/>
          <w:kern w:val="24"/>
          <w:sz w:val="24"/>
          <w:szCs w:val="24"/>
          <w:lang w:eastAsia="en-GB"/>
          <w14:ligatures w14:val="none"/>
        </w:rPr>
        <w:t>,  &amp;</w:t>
      </w:r>
      <w:proofErr w:type="gramEnd"/>
      <w:r w:rsidRPr="00703180">
        <w:rPr>
          <w:rFonts w:asciiTheme="majorHAnsi" w:eastAsiaTheme="minorEastAsia" w:hAnsi="Goudy Old Style" w:cs="Arial"/>
          <w:kern w:val="24"/>
          <w:sz w:val="24"/>
          <w:szCs w:val="24"/>
          <w:lang w:eastAsia="en-GB"/>
          <w14:ligatures w14:val="none"/>
        </w:rPr>
        <w:t xml:space="preserve"> Murphy, J. (2021). Standardising marine renewable energy testing: Gap analysis and recommendations for development of standards.</w:t>
      </w:r>
      <w:r w:rsidRPr="00703180">
        <w:rPr>
          <w:rFonts w:ascii="Times New Roman" w:eastAsiaTheme="minorEastAsia" w:hAnsi="Times New Roman" w:cs="Times New Roman"/>
          <w:kern w:val="24"/>
          <w:sz w:val="24"/>
          <w:szCs w:val="24"/>
          <w:lang w:eastAsia="en-GB"/>
          <w14:ligatures w14:val="none"/>
        </w:rPr>
        <w:t> </w:t>
      </w:r>
      <w:r w:rsidRPr="00703180">
        <w:rPr>
          <w:rFonts w:asciiTheme="majorHAnsi" w:eastAsiaTheme="minorEastAsia" w:hAnsi="Goudy Old Style" w:cs="Arial"/>
          <w:i/>
          <w:iCs/>
          <w:kern w:val="24"/>
          <w:sz w:val="24"/>
          <w:szCs w:val="24"/>
          <w:lang w:eastAsia="en-GB"/>
          <w14:ligatures w14:val="none"/>
        </w:rPr>
        <w:t>Journal of Marine Science and Engineering</w:t>
      </w:r>
      <w:r w:rsidRPr="00703180">
        <w:rPr>
          <w:rFonts w:asciiTheme="majorHAnsi" w:eastAsiaTheme="minorEastAsia" w:hAnsi="Goudy Old Style" w:cs="Arial"/>
          <w:kern w:val="24"/>
          <w:sz w:val="24"/>
          <w:szCs w:val="24"/>
          <w:lang w:eastAsia="en-GB"/>
          <w14:ligatures w14:val="none"/>
        </w:rPr>
        <w:t>,</w:t>
      </w:r>
      <w:r w:rsidRPr="00703180">
        <w:rPr>
          <w:rFonts w:ascii="Times New Roman" w:eastAsiaTheme="minorEastAsia" w:hAnsi="Times New Roman" w:cs="Times New Roman"/>
          <w:kern w:val="24"/>
          <w:sz w:val="24"/>
          <w:szCs w:val="24"/>
          <w:lang w:eastAsia="en-GB"/>
          <w14:ligatures w14:val="none"/>
        </w:rPr>
        <w:t> </w:t>
      </w:r>
      <w:r w:rsidRPr="00703180">
        <w:rPr>
          <w:rFonts w:asciiTheme="majorHAnsi" w:eastAsiaTheme="minorEastAsia" w:hAnsi="Goudy Old Style" w:cs="Arial"/>
          <w:i/>
          <w:iCs/>
          <w:kern w:val="24"/>
          <w:sz w:val="24"/>
          <w:szCs w:val="24"/>
          <w:lang w:eastAsia="en-GB"/>
          <w14:ligatures w14:val="none"/>
        </w:rPr>
        <w:t>9</w:t>
      </w:r>
      <w:r w:rsidRPr="00703180">
        <w:rPr>
          <w:rFonts w:asciiTheme="majorHAnsi" w:eastAsiaTheme="minorEastAsia" w:hAnsi="Goudy Old Style" w:cs="Arial"/>
          <w:kern w:val="24"/>
          <w:sz w:val="24"/>
          <w:szCs w:val="24"/>
          <w:lang w:eastAsia="en-GB"/>
          <w14:ligatures w14:val="none"/>
        </w:rPr>
        <w:t>(9), 971.</w:t>
      </w:r>
      <w:r w:rsidRPr="00703180">
        <w:rPr>
          <w:rFonts w:asciiTheme="majorHAnsi" w:eastAsiaTheme="minorEastAsia" w:hAnsi="Goudy Old Style" w:cs="Arial"/>
          <w:kern w:val="24"/>
          <w:sz w:val="24"/>
          <w:szCs w:val="24"/>
          <w:lang w:eastAsia="en-GB"/>
          <w14:ligatures w14:val="none"/>
        </w:rPr>
        <w:t> </w:t>
      </w:r>
    </w:p>
    <w:p w14:paraId="5CB4B229" w14:textId="77777777" w:rsidR="00703180" w:rsidRPr="006E13F9" w:rsidRDefault="00703180" w:rsidP="00386C2F">
      <w:pPr>
        <w:jc w:val="both"/>
      </w:pPr>
    </w:p>
    <w:p w14:paraId="45E62AB8" w14:textId="77777777" w:rsidR="006716CB" w:rsidRDefault="006716CB" w:rsidP="00386C2F">
      <w:pPr>
        <w:jc w:val="both"/>
        <w:rPr>
          <w:rFonts w:ascii="Calibri" w:eastAsia="Calibri" w:hAnsi="Calibri" w:cs="Calibri"/>
          <w:noProof/>
        </w:rPr>
      </w:pPr>
      <w:r w:rsidRPr="68372790">
        <w:rPr>
          <w:rFonts w:ascii="Calibri" w:eastAsia="Calibri" w:hAnsi="Calibri" w:cs="Calibri"/>
          <w:noProof/>
        </w:rPr>
        <w:t>Sazvar, Z. et al. (2021</w:t>
      </w:r>
      <w:r w:rsidRPr="0054F449">
        <w:rPr>
          <w:rFonts w:ascii="Calibri" w:eastAsia="Calibri" w:hAnsi="Calibri" w:cs="Calibri"/>
          <w:noProof/>
        </w:rPr>
        <w:t xml:space="preserve">). </w:t>
      </w:r>
      <w:r w:rsidRPr="68372790">
        <w:rPr>
          <w:rFonts w:ascii="Calibri" w:eastAsia="Calibri" w:hAnsi="Calibri" w:cs="Calibri"/>
          <w:noProof/>
        </w:rPr>
        <w:t xml:space="preserve">A </w:t>
      </w:r>
      <w:r w:rsidRPr="0054F449">
        <w:rPr>
          <w:rFonts w:ascii="Calibri" w:eastAsia="Calibri" w:hAnsi="Calibri" w:cs="Calibri"/>
          <w:noProof/>
        </w:rPr>
        <w:t>Capacity</w:t>
      </w:r>
      <w:r w:rsidRPr="68372790">
        <w:rPr>
          <w:rFonts w:ascii="Calibri" w:eastAsia="Calibri" w:hAnsi="Calibri" w:cs="Calibri"/>
          <w:noProof/>
        </w:rPr>
        <w:t xml:space="preserve"> </w:t>
      </w:r>
      <w:r w:rsidRPr="1CDD3650">
        <w:rPr>
          <w:rFonts w:ascii="Calibri" w:eastAsia="Calibri" w:hAnsi="Calibri" w:cs="Calibri"/>
          <w:noProof/>
        </w:rPr>
        <w:t>Planning Approach</w:t>
      </w:r>
      <w:r w:rsidRPr="68372790">
        <w:rPr>
          <w:rFonts w:ascii="Calibri" w:eastAsia="Calibri" w:hAnsi="Calibri" w:cs="Calibri"/>
          <w:noProof/>
        </w:rPr>
        <w:t xml:space="preserve"> for </w:t>
      </w:r>
      <w:r w:rsidRPr="1CDD3650">
        <w:rPr>
          <w:rFonts w:ascii="Calibri" w:eastAsia="Calibri" w:hAnsi="Calibri" w:cs="Calibri"/>
          <w:noProof/>
        </w:rPr>
        <w:t>Sustainable-Resilient Supply Chain Network Design Under Uncertainty</w:t>
      </w:r>
      <w:r w:rsidRPr="68372790">
        <w:rPr>
          <w:rFonts w:ascii="Calibri" w:eastAsia="Calibri" w:hAnsi="Calibri" w:cs="Calibri"/>
          <w:noProof/>
        </w:rPr>
        <w:t xml:space="preserve">: A </w:t>
      </w:r>
      <w:r w:rsidRPr="1CDD3650">
        <w:rPr>
          <w:rFonts w:ascii="Calibri" w:eastAsia="Calibri" w:hAnsi="Calibri" w:cs="Calibri"/>
          <w:noProof/>
        </w:rPr>
        <w:t xml:space="preserve">Case </w:t>
      </w:r>
      <w:r w:rsidRPr="04626A44">
        <w:rPr>
          <w:rFonts w:ascii="Calibri" w:eastAsia="Calibri" w:hAnsi="Calibri" w:cs="Calibri"/>
          <w:noProof/>
        </w:rPr>
        <w:t>Study</w:t>
      </w:r>
      <w:r w:rsidRPr="68372790">
        <w:rPr>
          <w:rFonts w:ascii="Calibri" w:eastAsia="Calibri" w:hAnsi="Calibri" w:cs="Calibri"/>
          <w:noProof/>
        </w:rPr>
        <w:t xml:space="preserve"> of </w:t>
      </w:r>
      <w:r w:rsidRPr="04626A44">
        <w:rPr>
          <w:rFonts w:ascii="Calibri" w:eastAsia="Calibri" w:hAnsi="Calibri" w:cs="Calibri"/>
          <w:noProof/>
        </w:rPr>
        <w:t>Vaccine Supply Chain’</w:t>
      </w:r>
      <w:r w:rsidRPr="68372790">
        <w:rPr>
          <w:rFonts w:ascii="Calibri" w:eastAsia="Calibri" w:hAnsi="Calibri" w:cs="Calibri"/>
          <w:noProof/>
        </w:rPr>
        <w:t xml:space="preserve">, Computers &amp; </w:t>
      </w:r>
      <w:r w:rsidRPr="04626A44">
        <w:rPr>
          <w:rFonts w:ascii="Calibri" w:eastAsia="Calibri" w:hAnsi="Calibri" w:cs="Calibri"/>
          <w:noProof/>
        </w:rPr>
        <w:t>Industrial Engineering. Vol.</w:t>
      </w:r>
      <w:r w:rsidRPr="68372790">
        <w:rPr>
          <w:rFonts w:ascii="Calibri" w:eastAsia="Calibri" w:hAnsi="Calibri" w:cs="Calibri"/>
          <w:noProof/>
        </w:rPr>
        <w:t xml:space="preserve"> 159, </w:t>
      </w:r>
      <w:r w:rsidRPr="04626A44">
        <w:rPr>
          <w:rFonts w:ascii="Calibri" w:eastAsia="Calibri" w:hAnsi="Calibri" w:cs="Calibri"/>
          <w:noProof/>
        </w:rPr>
        <w:t>pp</w:t>
      </w:r>
      <w:r w:rsidRPr="68372790">
        <w:rPr>
          <w:rFonts w:ascii="Calibri" w:eastAsia="Calibri" w:hAnsi="Calibri" w:cs="Calibri"/>
          <w:noProof/>
        </w:rPr>
        <w:t xml:space="preserve">. 107406–. Available at: </w:t>
      </w:r>
      <w:hyperlink r:id="rId12">
        <w:r w:rsidRPr="68372790">
          <w:rPr>
            <w:rStyle w:val="Hyperlink"/>
            <w:rFonts w:ascii="Calibri" w:eastAsia="Calibri" w:hAnsi="Calibri" w:cs="Calibri"/>
            <w:noProof/>
          </w:rPr>
          <w:t>https://doi.org/10.1016/j.cie.2021.107406</w:t>
        </w:r>
      </w:hyperlink>
      <w:r w:rsidRPr="68372790">
        <w:rPr>
          <w:rFonts w:ascii="Calibri" w:eastAsia="Calibri" w:hAnsi="Calibri" w:cs="Calibri"/>
          <w:noProof/>
        </w:rPr>
        <w:t>.</w:t>
      </w:r>
    </w:p>
    <w:p w14:paraId="60449801" w14:textId="77777777" w:rsidR="009E6224" w:rsidRDefault="009E6224" w:rsidP="00386C2F">
      <w:pPr>
        <w:jc w:val="both"/>
        <w:rPr>
          <w:rFonts w:ascii="Calibri" w:eastAsia="Calibri" w:hAnsi="Calibri" w:cs="Calibri"/>
          <w:noProof/>
        </w:rPr>
      </w:pPr>
      <w:r w:rsidRPr="0CC7C648">
        <w:rPr>
          <w:rFonts w:ascii="Calibri" w:eastAsia="Calibri" w:hAnsi="Calibri" w:cs="Calibri"/>
          <w:noProof/>
        </w:rPr>
        <w:t xml:space="preserve">Sheffi, Y. &amp; Rice Jr, J. B. </w:t>
      </w:r>
      <w:r w:rsidRPr="4CA9571F">
        <w:rPr>
          <w:rFonts w:ascii="Calibri" w:eastAsia="Calibri" w:hAnsi="Calibri" w:cs="Calibri"/>
          <w:noProof/>
        </w:rPr>
        <w:t>(</w:t>
      </w:r>
      <w:r w:rsidRPr="0CC7C648">
        <w:rPr>
          <w:rFonts w:ascii="Calibri" w:eastAsia="Calibri" w:hAnsi="Calibri" w:cs="Calibri"/>
          <w:noProof/>
        </w:rPr>
        <w:t>2005</w:t>
      </w:r>
      <w:r w:rsidRPr="4CA9571F">
        <w:rPr>
          <w:rFonts w:ascii="Calibri" w:eastAsia="Calibri" w:hAnsi="Calibri" w:cs="Calibri"/>
          <w:noProof/>
        </w:rPr>
        <w:t>).</w:t>
      </w:r>
      <w:r w:rsidRPr="0CC7C648">
        <w:rPr>
          <w:rFonts w:ascii="Calibri" w:eastAsia="Calibri" w:hAnsi="Calibri" w:cs="Calibri"/>
          <w:noProof/>
        </w:rPr>
        <w:t xml:space="preserve"> A Supply Chain View Of The Resilient Enterprise. MIT Sloan Management Review. Research Feature. Magazine Fall 2005. </w:t>
      </w:r>
    </w:p>
    <w:p w14:paraId="04C8BFC6" w14:textId="77777777" w:rsidR="004C4798" w:rsidRDefault="004C4798" w:rsidP="00386C2F">
      <w:pPr>
        <w:jc w:val="both"/>
        <w:rPr>
          <w:rFonts w:ascii="Calibri" w:eastAsia="Calibri" w:hAnsi="Calibri" w:cs="Calibri"/>
          <w:noProof/>
        </w:rPr>
      </w:pPr>
      <w:r w:rsidRPr="68372790">
        <w:rPr>
          <w:rFonts w:ascii="Calibri" w:eastAsia="Calibri" w:hAnsi="Calibri" w:cs="Calibri"/>
          <w:noProof/>
        </w:rPr>
        <w:t>Tang, C.S. (2006</w:t>
      </w:r>
      <w:r w:rsidRPr="52E1828C">
        <w:rPr>
          <w:rFonts w:ascii="Calibri" w:eastAsia="Calibri" w:hAnsi="Calibri" w:cs="Calibri"/>
          <w:noProof/>
        </w:rPr>
        <w:t>).</w:t>
      </w:r>
      <w:r w:rsidRPr="68372790">
        <w:rPr>
          <w:rFonts w:ascii="Calibri" w:eastAsia="Calibri" w:hAnsi="Calibri" w:cs="Calibri"/>
          <w:noProof/>
        </w:rPr>
        <w:t xml:space="preserve"> Perspectives in </w:t>
      </w:r>
      <w:r w:rsidRPr="3B5CD753">
        <w:rPr>
          <w:rFonts w:ascii="Calibri" w:eastAsia="Calibri" w:hAnsi="Calibri" w:cs="Calibri"/>
          <w:noProof/>
        </w:rPr>
        <w:t>Supply Chain Risk Management.</w:t>
      </w:r>
      <w:r w:rsidRPr="68372790">
        <w:rPr>
          <w:rFonts w:ascii="Calibri" w:eastAsia="Calibri" w:hAnsi="Calibri" w:cs="Calibri"/>
          <w:noProof/>
        </w:rPr>
        <w:t xml:space="preserve"> International </w:t>
      </w:r>
      <w:r w:rsidRPr="3B5CD753">
        <w:rPr>
          <w:rFonts w:ascii="Calibri" w:eastAsia="Calibri" w:hAnsi="Calibri" w:cs="Calibri"/>
          <w:noProof/>
        </w:rPr>
        <w:t>Journal</w:t>
      </w:r>
      <w:r w:rsidRPr="68372790">
        <w:rPr>
          <w:rFonts w:ascii="Calibri" w:eastAsia="Calibri" w:hAnsi="Calibri" w:cs="Calibri"/>
          <w:noProof/>
        </w:rPr>
        <w:t xml:space="preserve"> of </w:t>
      </w:r>
      <w:r w:rsidRPr="3B5CD753">
        <w:rPr>
          <w:rFonts w:ascii="Calibri" w:eastAsia="Calibri" w:hAnsi="Calibri" w:cs="Calibri"/>
          <w:noProof/>
        </w:rPr>
        <w:t>Production Economics. Vol</w:t>
      </w:r>
      <w:r w:rsidRPr="1554BC3B">
        <w:rPr>
          <w:rFonts w:ascii="Calibri" w:eastAsia="Calibri" w:hAnsi="Calibri" w:cs="Calibri"/>
          <w:noProof/>
        </w:rPr>
        <w:t>.</w:t>
      </w:r>
      <w:r w:rsidRPr="68372790">
        <w:rPr>
          <w:rFonts w:ascii="Calibri" w:eastAsia="Calibri" w:hAnsi="Calibri" w:cs="Calibri"/>
          <w:noProof/>
        </w:rPr>
        <w:t xml:space="preserve"> 103(2), pp. 451–488. Available at: </w:t>
      </w:r>
      <w:hyperlink r:id="rId13">
        <w:r w:rsidRPr="68372790">
          <w:rPr>
            <w:rStyle w:val="Hyperlink"/>
            <w:rFonts w:ascii="Calibri" w:eastAsia="Calibri" w:hAnsi="Calibri" w:cs="Calibri"/>
            <w:noProof/>
          </w:rPr>
          <w:t>https://doi.org/10.1016/j.ijpe.2005.12.006</w:t>
        </w:r>
      </w:hyperlink>
      <w:r w:rsidRPr="68372790">
        <w:rPr>
          <w:rFonts w:ascii="Calibri" w:eastAsia="Calibri" w:hAnsi="Calibri" w:cs="Calibri"/>
          <w:noProof/>
        </w:rPr>
        <w:t>.</w:t>
      </w:r>
    </w:p>
    <w:p w14:paraId="1226DDA4" w14:textId="77777777" w:rsidR="00653B6A" w:rsidRDefault="00653B6A" w:rsidP="00386C2F">
      <w:pPr>
        <w:jc w:val="both"/>
      </w:pPr>
      <w:r w:rsidRPr="68372790">
        <w:rPr>
          <w:rFonts w:ascii="Calibri" w:eastAsia="Calibri" w:hAnsi="Calibri" w:cs="Calibri"/>
          <w:noProof/>
        </w:rPr>
        <w:t>Thomas, A., Dorrington, P., Haven-Tang, C., Mason-Jones, R., Francis, M., Fisher, R. and  Liu, S. (2018</w:t>
      </w:r>
      <w:r w:rsidRPr="7680AEDE">
        <w:rPr>
          <w:rFonts w:ascii="Calibri" w:eastAsia="Calibri" w:hAnsi="Calibri" w:cs="Calibri"/>
          <w:noProof/>
        </w:rPr>
        <w:t>).</w:t>
      </w:r>
      <w:r w:rsidRPr="68372790">
        <w:rPr>
          <w:rFonts w:ascii="Calibri" w:eastAsia="Calibri" w:hAnsi="Calibri" w:cs="Calibri"/>
          <w:noProof/>
        </w:rPr>
        <w:t xml:space="preserve"> The </w:t>
      </w:r>
      <w:r w:rsidRPr="7680AEDE">
        <w:rPr>
          <w:rFonts w:ascii="Calibri" w:eastAsia="Calibri" w:hAnsi="Calibri" w:cs="Calibri"/>
          <w:noProof/>
        </w:rPr>
        <w:t>Application</w:t>
      </w:r>
      <w:r w:rsidRPr="68372790">
        <w:rPr>
          <w:rFonts w:ascii="Calibri" w:eastAsia="Calibri" w:hAnsi="Calibri" w:cs="Calibri"/>
          <w:noProof/>
        </w:rPr>
        <w:t xml:space="preserve"> of </w:t>
      </w:r>
      <w:r w:rsidRPr="7680AEDE">
        <w:rPr>
          <w:rFonts w:ascii="Calibri" w:eastAsia="Calibri" w:hAnsi="Calibri" w:cs="Calibri"/>
          <w:noProof/>
        </w:rPr>
        <w:t>Group Consensus Theory</w:t>
      </w:r>
      <w:r w:rsidRPr="68372790">
        <w:rPr>
          <w:rFonts w:ascii="Calibri" w:eastAsia="Calibri" w:hAnsi="Calibri" w:cs="Calibri"/>
          <w:noProof/>
        </w:rPr>
        <w:t xml:space="preserve"> to </w:t>
      </w:r>
      <w:r w:rsidRPr="7680AEDE">
        <w:rPr>
          <w:rFonts w:ascii="Calibri" w:eastAsia="Calibri" w:hAnsi="Calibri" w:cs="Calibri"/>
          <w:noProof/>
        </w:rPr>
        <w:t>Aid Organisational Learning</w:t>
      </w:r>
      <w:r w:rsidRPr="68372790">
        <w:rPr>
          <w:rFonts w:ascii="Calibri" w:eastAsia="Calibri" w:hAnsi="Calibri" w:cs="Calibri"/>
          <w:noProof/>
        </w:rPr>
        <w:t xml:space="preserve"> and </w:t>
      </w:r>
      <w:r w:rsidRPr="7680AEDE">
        <w:rPr>
          <w:rFonts w:ascii="Calibri" w:eastAsia="Calibri" w:hAnsi="Calibri" w:cs="Calibri"/>
          <w:noProof/>
        </w:rPr>
        <w:t>Sustainable Innovation</w:t>
      </w:r>
      <w:r w:rsidRPr="68372790">
        <w:rPr>
          <w:rFonts w:ascii="Calibri" w:eastAsia="Calibri" w:hAnsi="Calibri" w:cs="Calibri"/>
          <w:noProof/>
        </w:rPr>
        <w:t xml:space="preserve"> in </w:t>
      </w:r>
      <w:r w:rsidRPr="7680AEDE">
        <w:rPr>
          <w:rFonts w:ascii="Calibri" w:eastAsia="Calibri" w:hAnsi="Calibri" w:cs="Calibri"/>
          <w:noProof/>
        </w:rPr>
        <w:t>Manufacturing</w:t>
      </w:r>
      <w:r w:rsidRPr="68372790">
        <w:rPr>
          <w:rFonts w:ascii="Calibri" w:eastAsia="Calibri" w:hAnsi="Calibri" w:cs="Calibri"/>
          <w:noProof/>
        </w:rPr>
        <w:t xml:space="preserve"> SMEs</w:t>
      </w:r>
      <w:r w:rsidRPr="7680AEDE">
        <w:rPr>
          <w:rFonts w:ascii="Calibri" w:eastAsia="Calibri" w:hAnsi="Calibri" w:cs="Calibri"/>
          <w:noProof/>
        </w:rPr>
        <w:t>.</w:t>
      </w:r>
      <w:r w:rsidRPr="68372790">
        <w:rPr>
          <w:rFonts w:ascii="Calibri" w:eastAsia="Calibri" w:hAnsi="Calibri" w:cs="Calibri"/>
          <w:noProof/>
        </w:rPr>
        <w:t xml:space="preserve"> Cogent Business &amp; Management</w:t>
      </w:r>
      <w:r w:rsidRPr="7680AEDE">
        <w:rPr>
          <w:rFonts w:ascii="Calibri" w:eastAsia="Calibri" w:hAnsi="Calibri" w:cs="Calibri"/>
          <w:noProof/>
        </w:rPr>
        <w:t>. Vol.</w:t>
      </w:r>
      <w:r w:rsidRPr="24E124F8">
        <w:rPr>
          <w:rFonts w:ascii="Calibri" w:eastAsia="Calibri" w:hAnsi="Calibri" w:cs="Calibri"/>
          <w:noProof/>
        </w:rPr>
        <w:t xml:space="preserve"> </w:t>
      </w:r>
      <w:r w:rsidRPr="68372790">
        <w:rPr>
          <w:rFonts w:ascii="Calibri" w:eastAsia="Calibri" w:hAnsi="Calibri" w:cs="Calibri"/>
          <w:noProof/>
        </w:rPr>
        <w:t>5:1</w:t>
      </w:r>
      <w:r w:rsidRPr="7680AEDE">
        <w:rPr>
          <w:rFonts w:ascii="Calibri" w:eastAsia="Calibri" w:hAnsi="Calibri" w:cs="Calibri"/>
          <w:noProof/>
        </w:rPr>
        <w:t xml:space="preserve">. </w:t>
      </w:r>
      <w:r w:rsidRPr="68372790">
        <w:rPr>
          <w:rFonts w:ascii="Calibri" w:eastAsia="Calibri" w:hAnsi="Calibri" w:cs="Calibri"/>
          <w:noProof/>
        </w:rPr>
        <w:t xml:space="preserve"> </w:t>
      </w:r>
    </w:p>
    <w:p w14:paraId="140EAD9B" w14:textId="77777777" w:rsidR="00653B6A" w:rsidRDefault="00653B6A" w:rsidP="004C4798"/>
    <w:p w14:paraId="5C034707" w14:textId="77777777" w:rsidR="004C4798" w:rsidRDefault="004C4798" w:rsidP="009E6224"/>
    <w:p w14:paraId="0D6E6C7C" w14:textId="77777777" w:rsidR="009E6224" w:rsidRDefault="009E6224" w:rsidP="006716CB"/>
    <w:p w14:paraId="7680CA84" w14:textId="77777777" w:rsidR="006716CB" w:rsidRPr="002839C3" w:rsidRDefault="006716CB" w:rsidP="001605A0">
      <w:pPr>
        <w:jc w:val="both"/>
        <w:rPr>
          <w:lang w:val="en-US"/>
        </w:rPr>
      </w:pPr>
    </w:p>
    <w:sectPr w:rsidR="006716CB" w:rsidRPr="00283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udy Old Style">
    <w:panose1 w:val="020205020503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F7036"/>
    <w:multiLevelType w:val="hybridMultilevel"/>
    <w:tmpl w:val="88383AB2"/>
    <w:lvl w:ilvl="0" w:tplc="88102D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0A10BB"/>
    <w:multiLevelType w:val="multilevel"/>
    <w:tmpl w:val="F2B22342"/>
    <w:styleLink w:val="Style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96D0BC8"/>
    <w:multiLevelType w:val="hybridMultilevel"/>
    <w:tmpl w:val="5156C0AA"/>
    <w:lvl w:ilvl="0" w:tplc="E35283B0">
      <w:start w:val="1"/>
      <w:numFmt w:val="bullet"/>
      <w:lvlText w:val="•"/>
      <w:lvlJc w:val="left"/>
      <w:pPr>
        <w:tabs>
          <w:tab w:val="num" w:pos="720"/>
        </w:tabs>
        <w:ind w:left="720" w:hanging="360"/>
      </w:pPr>
      <w:rPr>
        <w:rFonts w:ascii="Arial" w:hAnsi="Arial" w:hint="default"/>
      </w:rPr>
    </w:lvl>
    <w:lvl w:ilvl="1" w:tplc="9D183DDC" w:tentative="1">
      <w:start w:val="1"/>
      <w:numFmt w:val="bullet"/>
      <w:lvlText w:val="•"/>
      <w:lvlJc w:val="left"/>
      <w:pPr>
        <w:tabs>
          <w:tab w:val="num" w:pos="1440"/>
        </w:tabs>
        <w:ind w:left="1440" w:hanging="360"/>
      </w:pPr>
      <w:rPr>
        <w:rFonts w:ascii="Arial" w:hAnsi="Arial" w:hint="default"/>
      </w:rPr>
    </w:lvl>
    <w:lvl w:ilvl="2" w:tplc="7324CC14" w:tentative="1">
      <w:start w:val="1"/>
      <w:numFmt w:val="bullet"/>
      <w:lvlText w:val="•"/>
      <w:lvlJc w:val="left"/>
      <w:pPr>
        <w:tabs>
          <w:tab w:val="num" w:pos="2160"/>
        </w:tabs>
        <w:ind w:left="2160" w:hanging="360"/>
      </w:pPr>
      <w:rPr>
        <w:rFonts w:ascii="Arial" w:hAnsi="Arial" w:hint="default"/>
      </w:rPr>
    </w:lvl>
    <w:lvl w:ilvl="3" w:tplc="A78C36B0" w:tentative="1">
      <w:start w:val="1"/>
      <w:numFmt w:val="bullet"/>
      <w:lvlText w:val="•"/>
      <w:lvlJc w:val="left"/>
      <w:pPr>
        <w:tabs>
          <w:tab w:val="num" w:pos="2880"/>
        </w:tabs>
        <w:ind w:left="2880" w:hanging="360"/>
      </w:pPr>
      <w:rPr>
        <w:rFonts w:ascii="Arial" w:hAnsi="Arial" w:hint="default"/>
      </w:rPr>
    </w:lvl>
    <w:lvl w:ilvl="4" w:tplc="636A446C" w:tentative="1">
      <w:start w:val="1"/>
      <w:numFmt w:val="bullet"/>
      <w:lvlText w:val="•"/>
      <w:lvlJc w:val="left"/>
      <w:pPr>
        <w:tabs>
          <w:tab w:val="num" w:pos="3600"/>
        </w:tabs>
        <w:ind w:left="3600" w:hanging="360"/>
      </w:pPr>
      <w:rPr>
        <w:rFonts w:ascii="Arial" w:hAnsi="Arial" w:hint="default"/>
      </w:rPr>
    </w:lvl>
    <w:lvl w:ilvl="5" w:tplc="786646CC" w:tentative="1">
      <w:start w:val="1"/>
      <w:numFmt w:val="bullet"/>
      <w:lvlText w:val="•"/>
      <w:lvlJc w:val="left"/>
      <w:pPr>
        <w:tabs>
          <w:tab w:val="num" w:pos="4320"/>
        </w:tabs>
        <w:ind w:left="4320" w:hanging="360"/>
      </w:pPr>
      <w:rPr>
        <w:rFonts w:ascii="Arial" w:hAnsi="Arial" w:hint="default"/>
      </w:rPr>
    </w:lvl>
    <w:lvl w:ilvl="6" w:tplc="668C8E0E" w:tentative="1">
      <w:start w:val="1"/>
      <w:numFmt w:val="bullet"/>
      <w:lvlText w:val="•"/>
      <w:lvlJc w:val="left"/>
      <w:pPr>
        <w:tabs>
          <w:tab w:val="num" w:pos="5040"/>
        </w:tabs>
        <w:ind w:left="5040" w:hanging="360"/>
      </w:pPr>
      <w:rPr>
        <w:rFonts w:ascii="Arial" w:hAnsi="Arial" w:hint="default"/>
      </w:rPr>
    </w:lvl>
    <w:lvl w:ilvl="7" w:tplc="2670F678" w:tentative="1">
      <w:start w:val="1"/>
      <w:numFmt w:val="bullet"/>
      <w:lvlText w:val="•"/>
      <w:lvlJc w:val="left"/>
      <w:pPr>
        <w:tabs>
          <w:tab w:val="num" w:pos="5760"/>
        </w:tabs>
        <w:ind w:left="5760" w:hanging="360"/>
      </w:pPr>
      <w:rPr>
        <w:rFonts w:ascii="Arial" w:hAnsi="Arial" w:hint="default"/>
      </w:rPr>
    </w:lvl>
    <w:lvl w:ilvl="8" w:tplc="0F3841E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3662F10"/>
    <w:multiLevelType w:val="hybridMultilevel"/>
    <w:tmpl w:val="4DA05DD6"/>
    <w:lvl w:ilvl="0" w:tplc="4050951C">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A6E7768"/>
    <w:multiLevelType w:val="multilevel"/>
    <w:tmpl w:val="F2B22342"/>
    <w:numStyleLink w:val="Style1"/>
  </w:abstractNum>
  <w:num w:numId="1" w16cid:durableId="1248424138">
    <w:abstractNumId w:val="0"/>
  </w:num>
  <w:num w:numId="2" w16cid:durableId="1682707408">
    <w:abstractNumId w:val="3"/>
  </w:num>
  <w:num w:numId="3" w16cid:durableId="486240208">
    <w:abstractNumId w:val="1"/>
  </w:num>
  <w:num w:numId="4" w16cid:durableId="100808664">
    <w:abstractNumId w:val="4"/>
  </w:num>
  <w:num w:numId="5" w16cid:durableId="1221206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C3"/>
    <w:rsid w:val="00064FC8"/>
    <w:rsid w:val="000777FB"/>
    <w:rsid w:val="00083B46"/>
    <w:rsid w:val="000875F1"/>
    <w:rsid w:val="00096DB4"/>
    <w:rsid w:val="000B0A21"/>
    <w:rsid w:val="000D1A8B"/>
    <w:rsid w:val="000E32D7"/>
    <w:rsid w:val="000F5E98"/>
    <w:rsid w:val="00112CD7"/>
    <w:rsid w:val="00114551"/>
    <w:rsid w:val="001353C6"/>
    <w:rsid w:val="001457CD"/>
    <w:rsid w:val="001605A0"/>
    <w:rsid w:val="0016561E"/>
    <w:rsid w:val="001831E7"/>
    <w:rsid w:val="00186296"/>
    <w:rsid w:val="001B216A"/>
    <w:rsid w:val="001C6082"/>
    <w:rsid w:val="001E79D5"/>
    <w:rsid w:val="001F37D6"/>
    <w:rsid w:val="00206113"/>
    <w:rsid w:val="00207114"/>
    <w:rsid w:val="0021721E"/>
    <w:rsid w:val="00217625"/>
    <w:rsid w:val="00222697"/>
    <w:rsid w:val="00223F0B"/>
    <w:rsid w:val="0023361C"/>
    <w:rsid w:val="002467BC"/>
    <w:rsid w:val="00255DF9"/>
    <w:rsid w:val="00265F03"/>
    <w:rsid w:val="00272120"/>
    <w:rsid w:val="002738B7"/>
    <w:rsid w:val="00275605"/>
    <w:rsid w:val="002839C3"/>
    <w:rsid w:val="0029300B"/>
    <w:rsid w:val="002968E8"/>
    <w:rsid w:val="002A2F70"/>
    <w:rsid w:val="002B47E3"/>
    <w:rsid w:val="002B767B"/>
    <w:rsid w:val="002B7C35"/>
    <w:rsid w:val="002D3E2C"/>
    <w:rsid w:val="003052D4"/>
    <w:rsid w:val="00347953"/>
    <w:rsid w:val="00354846"/>
    <w:rsid w:val="00376300"/>
    <w:rsid w:val="00386C2F"/>
    <w:rsid w:val="003A4FF4"/>
    <w:rsid w:val="003A7A68"/>
    <w:rsid w:val="003C5484"/>
    <w:rsid w:val="003D6263"/>
    <w:rsid w:val="003F7528"/>
    <w:rsid w:val="00421CA4"/>
    <w:rsid w:val="00430EFF"/>
    <w:rsid w:val="0044267C"/>
    <w:rsid w:val="00442B55"/>
    <w:rsid w:val="00456603"/>
    <w:rsid w:val="00460A3D"/>
    <w:rsid w:val="00463AEA"/>
    <w:rsid w:val="00481CE0"/>
    <w:rsid w:val="004B727D"/>
    <w:rsid w:val="004C0165"/>
    <w:rsid w:val="004C4798"/>
    <w:rsid w:val="004C48B8"/>
    <w:rsid w:val="004F00D4"/>
    <w:rsid w:val="00531439"/>
    <w:rsid w:val="00575EF2"/>
    <w:rsid w:val="005A1801"/>
    <w:rsid w:val="005C1D14"/>
    <w:rsid w:val="005F72AC"/>
    <w:rsid w:val="00600FD7"/>
    <w:rsid w:val="00606FC9"/>
    <w:rsid w:val="00653B6A"/>
    <w:rsid w:val="0066138C"/>
    <w:rsid w:val="00661C27"/>
    <w:rsid w:val="006716CB"/>
    <w:rsid w:val="00672221"/>
    <w:rsid w:val="00695E30"/>
    <w:rsid w:val="006A47AB"/>
    <w:rsid w:val="006B1928"/>
    <w:rsid w:val="006C4E5E"/>
    <w:rsid w:val="006E13F9"/>
    <w:rsid w:val="006F41AF"/>
    <w:rsid w:val="00703180"/>
    <w:rsid w:val="007208ED"/>
    <w:rsid w:val="00761BAB"/>
    <w:rsid w:val="00776A2A"/>
    <w:rsid w:val="007A1891"/>
    <w:rsid w:val="007A66F5"/>
    <w:rsid w:val="007B4050"/>
    <w:rsid w:val="007C2B86"/>
    <w:rsid w:val="0080026D"/>
    <w:rsid w:val="00827C13"/>
    <w:rsid w:val="00851C44"/>
    <w:rsid w:val="0086185F"/>
    <w:rsid w:val="00863BC5"/>
    <w:rsid w:val="00866B98"/>
    <w:rsid w:val="008A6721"/>
    <w:rsid w:val="008C4957"/>
    <w:rsid w:val="008F331F"/>
    <w:rsid w:val="009228C0"/>
    <w:rsid w:val="0094321B"/>
    <w:rsid w:val="009530D9"/>
    <w:rsid w:val="009604A4"/>
    <w:rsid w:val="00961739"/>
    <w:rsid w:val="00961C05"/>
    <w:rsid w:val="0097705F"/>
    <w:rsid w:val="00977B16"/>
    <w:rsid w:val="00981EF1"/>
    <w:rsid w:val="009D3712"/>
    <w:rsid w:val="009E6224"/>
    <w:rsid w:val="009F285A"/>
    <w:rsid w:val="00A25777"/>
    <w:rsid w:val="00A534B3"/>
    <w:rsid w:val="00AA6480"/>
    <w:rsid w:val="00AE4D65"/>
    <w:rsid w:val="00AF0357"/>
    <w:rsid w:val="00B42E01"/>
    <w:rsid w:val="00B57313"/>
    <w:rsid w:val="00B66C1B"/>
    <w:rsid w:val="00BB4958"/>
    <w:rsid w:val="00BB5F72"/>
    <w:rsid w:val="00BD2FAA"/>
    <w:rsid w:val="00BE7149"/>
    <w:rsid w:val="00BF60E4"/>
    <w:rsid w:val="00BF7A89"/>
    <w:rsid w:val="00C0544B"/>
    <w:rsid w:val="00C87EEC"/>
    <w:rsid w:val="00C94332"/>
    <w:rsid w:val="00C94F61"/>
    <w:rsid w:val="00CB00B1"/>
    <w:rsid w:val="00CB1847"/>
    <w:rsid w:val="00CC6EBA"/>
    <w:rsid w:val="00CF1672"/>
    <w:rsid w:val="00D03F77"/>
    <w:rsid w:val="00D347CC"/>
    <w:rsid w:val="00D364D3"/>
    <w:rsid w:val="00D378C3"/>
    <w:rsid w:val="00D71865"/>
    <w:rsid w:val="00D836F6"/>
    <w:rsid w:val="00D9441E"/>
    <w:rsid w:val="00DA47A7"/>
    <w:rsid w:val="00DE429E"/>
    <w:rsid w:val="00DE5383"/>
    <w:rsid w:val="00DF4283"/>
    <w:rsid w:val="00DF4E61"/>
    <w:rsid w:val="00E43FB6"/>
    <w:rsid w:val="00E603FD"/>
    <w:rsid w:val="00E6186B"/>
    <w:rsid w:val="00E950E2"/>
    <w:rsid w:val="00EB548B"/>
    <w:rsid w:val="00EC0925"/>
    <w:rsid w:val="00EE6337"/>
    <w:rsid w:val="00F07438"/>
    <w:rsid w:val="00F30C5F"/>
    <w:rsid w:val="00F402CF"/>
    <w:rsid w:val="00F52862"/>
    <w:rsid w:val="00F77459"/>
    <w:rsid w:val="00F91DA1"/>
    <w:rsid w:val="00F95734"/>
    <w:rsid w:val="00FB33F3"/>
    <w:rsid w:val="00FD696D"/>
    <w:rsid w:val="00FF21A6"/>
    <w:rsid w:val="00FF4D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A110"/>
  <w15:chartTrackingRefBased/>
  <w15:docId w15:val="{A2B71D44-421C-4CD7-B889-855DC113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67B"/>
    <w:pPr>
      <w:ind w:left="720"/>
      <w:contextualSpacing/>
    </w:pPr>
  </w:style>
  <w:style w:type="paragraph" w:customStyle="1" w:styleId="xxparagraph">
    <w:name w:val="x_xparagraph"/>
    <w:basedOn w:val="Normal"/>
    <w:rsid w:val="000F5E9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xxnormaltextrun">
    <w:name w:val="x_xnormaltextrun"/>
    <w:basedOn w:val="DefaultParagraphFont"/>
    <w:rsid w:val="000F5E98"/>
  </w:style>
  <w:style w:type="character" w:customStyle="1" w:styleId="xxeop">
    <w:name w:val="x_xeop"/>
    <w:basedOn w:val="DefaultParagraphFont"/>
    <w:rsid w:val="000F5E98"/>
  </w:style>
  <w:style w:type="numbering" w:customStyle="1" w:styleId="Style1">
    <w:name w:val="Style1"/>
    <w:basedOn w:val="NoList"/>
    <w:uiPriority w:val="99"/>
    <w:rsid w:val="003C5484"/>
    <w:pPr>
      <w:numPr>
        <w:numId w:val="3"/>
      </w:numPr>
    </w:pPr>
  </w:style>
  <w:style w:type="paragraph" w:customStyle="1" w:styleId="Caption1">
    <w:name w:val="Caption1"/>
    <w:basedOn w:val="Normal"/>
    <w:link w:val="Caption1Char"/>
    <w:qFormat/>
    <w:rsid w:val="003C5484"/>
    <w:pPr>
      <w:jc w:val="center"/>
    </w:pPr>
    <w:rPr>
      <w:b/>
    </w:rPr>
  </w:style>
  <w:style w:type="character" w:customStyle="1" w:styleId="Caption1Char">
    <w:name w:val="Caption1 Char"/>
    <w:basedOn w:val="DefaultParagraphFont"/>
    <w:link w:val="Caption1"/>
    <w:rsid w:val="003C5484"/>
    <w:rPr>
      <w:b/>
    </w:rPr>
  </w:style>
  <w:style w:type="character" w:styleId="Hyperlink">
    <w:name w:val="Hyperlink"/>
    <w:basedOn w:val="DefaultParagraphFont"/>
    <w:uiPriority w:val="99"/>
    <w:semiHidden/>
    <w:unhideWhenUsed/>
    <w:rsid w:val="003548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749689">
      <w:bodyDiv w:val="1"/>
      <w:marLeft w:val="0"/>
      <w:marRight w:val="0"/>
      <w:marTop w:val="0"/>
      <w:marBottom w:val="0"/>
      <w:divBdr>
        <w:top w:val="none" w:sz="0" w:space="0" w:color="auto"/>
        <w:left w:val="none" w:sz="0" w:space="0" w:color="auto"/>
        <w:bottom w:val="none" w:sz="0" w:space="0" w:color="auto"/>
        <w:right w:val="none" w:sz="0" w:space="0" w:color="auto"/>
      </w:divBdr>
      <w:divsChild>
        <w:div w:id="1454013239">
          <w:marLeft w:val="0"/>
          <w:marRight w:val="0"/>
          <w:marTop w:val="0"/>
          <w:marBottom w:val="0"/>
          <w:divBdr>
            <w:top w:val="none" w:sz="0" w:space="0" w:color="auto"/>
            <w:left w:val="none" w:sz="0" w:space="0" w:color="auto"/>
            <w:bottom w:val="none" w:sz="0" w:space="0" w:color="auto"/>
            <w:right w:val="none" w:sz="0" w:space="0" w:color="auto"/>
          </w:divBdr>
        </w:div>
        <w:div w:id="634797438">
          <w:marLeft w:val="0"/>
          <w:marRight w:val="0"/>
          <w:marTop w:val="0"/>
          <w:marBottom w:val="0"/>
          <w:divBdr>
            <w:top w:val="none" w:sz="0" w:space="0" w:color="auto"/>
            <w:left w:val="none" w:sz="0" w:space="0" w:color="auto"/>
            <w:bottom w:val="none" w:sz="0" w:space="0" w:color="auto"/>
            <w:right w:val="none" w:sz="0" w:space="0" w:color="auto"/>
          </w:divBdr>
        </w:div>
      </w:divsChild>
    </w:div>
    <w:div w:id="708068856">
      <w:bodyDiv w:val="1"/>
      <w:marLeft w:val="0"/>
      <w:marRight w:val="0"/>
      <w:marTop w:val="0"/>
      <w:marBottom w:val="0"/>
      <w:divBdr>
        <w:top w:val="none" w:sz="0" w:space="0" w:color="auto"/>
        <w:left w:val="none" w:sz="0" w:space="0" w:color="auto"/>
        <w:bottom w:val="none" w:sz="0" w:space="0" w:color="auto"/>
        <w:right w:val="none" w:sz="0" w:space="0" w:color="auto"/>
      </w:divBdr>
      <w:divsChild>
        <w:div w:id="429354396">
          <w:marLeft w:val="360"/>
          <w:marRight w:val="0"/>
          <w:marTop w:val="200"/>
          <w:marBottom w:val="0"/>
          <w:divBdr>
            <w:top w:val="none" w:sz="0" w:space="0" w:color="auto"/>
            <w:left w:val="none" w:sz="0" w:space="0" w:color="auto"/>
            <w:bottom w:val="none" w:sz="0" w:space="0" w:color="auto"/>
            <w:right w:val="none" w:sz="0" w:space="0" w:color="auto"/>
          </w:divBdr>
        </w:div>
      </w:divsChild>
    </w:div>
    <w:div w:id="1285193067">
      <w:bodyDiv w:val="1"/>
      <w:marLeft w:val="0"/>
      <w:marRight w:val="0"/>
      <w:marTop w:val="0"/>
      <w:marBottom w:val="0"/>
      <w:divBdr>
        <w:top w:val="none" w:sz="0" w:space="0" w:color="auto"/>
        <w:left w:val="none" w:sz="0" w:space="0" w:color="auto"/>
        <w:bottom w:val="none" w:sz="0" w:space="0" w:color="auto"/>
        <w:right w:val="none" w:sz="0" w:space="0" w:color="auto"/>
      </w:divBdr>
      <w:divsChild>
        <w:div w:id="2041320341">
          <w:marLeft w:val="360"/>
          <w:marRight w:val="0"/>
          <w:marTop w:val="200"/>
          <w:marBottom w:val="0"/>
          <w:divBdr>
            <w:top w:val="none" w:sz="0" w:space="0" w:color="auto"/>
            <w:left w:val="none" w:sz="0" w:space="0" w:color="auto"/>
            <w:bottom w:val="none" w:sz="0" w:space="0" w:color="auto"/>
            <w:right w:val="none" w:sz="0" w:space="0" w:color="auto"/>
          </w:divBdr>
        </w:div>
      </w:divsChild>
    </w:div>
    <w:div w:id="1623732476">
      <w:bodyDiv w:val="1"/>
      <w:marLeft w:val="0"/>
      <w:marRight w:val="0"/>
      <w:marTop w:val="0"/>
      <w:marBottom w:val="0"/>
      <w:divBdr>
        <w:top w:val="none" w:sz="0" w:space="0" w:color="auto"/>
        <w:left w:val="none" w:sz="0" w:space="0" w:color="auto"/>
        <w:bottom w:val="none" w:sz="0" w:space="0" w:color="auto"/>
        <w:right w:val="none" w:sz="0" w:space="0" w:color="auto"/>
      </w:divBdr>
      <w:divsChild>
        <w:div w:id="1140994717">
          <w:marLeft w:val="0"/>
          <w:marRight w:val="0"/>
          <w:marTop w:val="120"/>
          <w:marBottom w:val="120"/>
          <w:divBdr>
            <w:top w:val="none" w:sz="0" w:space="0" w:color="auto"/>
            <w:left w:val="none" w:sz="0" w:space="0" w:color="auto"/>
            <w:bottom w:val="none" w:sz="0" w:space="0" w:color="auto"/>
            <w:right w:val="none" w:sz="0" w:space="0" w:color="auto"/>
          </w:divBdr>
          <w:divsChild>
            <w:div w:id="331684564">
              <w:marLeft w:val="0"/>
              <w:marRight w:val="0"/>
              <w:marTop w:val="0"/>
              <w:marBottom w:val="0"/>
              <w:divBdr>
                <w:top w:val="none" w:sz="0" w:space="0" w:color="auto"/>
                <w:left w:val="none" w:sz="0" w:space="0" w:color="auto"/>
                <w:bottom w:val="none" w:sz="0" w:space="0" w:color="auto"/>
                <w:right w:val="none" w:sz="0" w:space="0" w:color="auto"/>
              </w:divBdr>
            </w:div>
          </w:divsChild>
        </w:div>
        <w:div w:id="2039309645">
          <w:marLeft w:val="0"/>
          <w:marRight w:val="0"/>
          <w:marTop w:val="0"/>
          <w:marBottom w:val="120"/>
          <w:divBdr>
            <w:top w:val="none" w:sz="0" w:space="0" w:color="auto"/>
            <w:left w:val="none" w:sz="0" w:space="0" w:color="auto"/>
            <w:bottom w:val="none" w:sz="0" w:space="0" w:color="auto"/>
            <w:right w:val="none" w:sz="0" w:space="0" w:color="auto"/>
          </w:divBdr>
          <w:divsChild>
            <w:div w:id="13602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04261">
      <w:bodyDiv w:val="1"/>
      <w:marLeft w:val="0"/>
      <w:marRight w:val="0"/>
      <w:marTop w:val="0"/>
      <w:marBottom w:val="0"/>
      <w:divBdr>
        <w:top w:val="none" w:sz="0" w:space="0" w:color="auto"/>
        <w:left w:val="none" w:sz="0" w:space="0" w:color="auto"/>
        <w:bottom w:val="none" w:sz="0" w:space="0" w:color="auto"/>
        <w:right w:val="none" w:sz="0" w:space="0" w:color="auto"/>
      </w:divBdr>
      <w:divsChild>
        <w:div w:id="1996833741">
          <w:marLeft w:val="0"/>
          <w:marRight w:val="0"/>
          <w:marTop w:val="120"/>
          <w:marBottom w:val="120"/>
          <w:divBdr>
            <w:top w:val="none" w:sz="0" w:space="0" w:color="auto"/>
            <w:left w:val="none" w:sz="0" w:space="0" w:color="auto"/>
            <w:bottom w:val="none" w:sz="0" w:space="0" w:color="auto"/>
            <w:right w:val="none" w:sz="0" w:space="0" w:color="auto"/>
          </w:divBdr>
          <w:divsChild>
            <w:div w:id="1726755937">
              <w:marLeft w:val="0"/>
              <w:marRight w:val="0"/>
              <w:marTop w:val="0"/>
              <w:marBottom w:val="0"/>
              <w:divBdr>
                <w:top w:val="none" w:sz="0" w:space="0" w:color="auto"/>
                <w:left w:val="none" w:sz="0" w:space="0" w:color="auto"/>
                <w:bottom w:val="none" w:sz="0" w:space="0" w:color="auto"/>
                <w:right w:val="none" w:sz="0" w:space="0" w:color="auto"/>
              </w:divBdr>
            </w:div>
          </w:divsChild>
        </w:div>
        <w:div w:id="731276014">
          <w:marLeft w:val="0"/>
          <w:marRight w:val="0"/>
          <w:marTop w:val="0"/>
          <w:marBottom w:val="120"/>
          <w:divBdr>
            <w:top w:val="none" w:sz="0" w:space="0" w:color="auto"/>
            <w:left w:val="none" w:sz="0" w:space="0" w:color="auto"/>
            <w:bottom w:val="none" w:sz="0" w:space="0" w:color="auto"/>
            <w:right w:val="none" w:sz="0" w:space="0" w:color="auto"/>
          </w:divBdr>
          <w:divsChild>
            <w:div w:id="66290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8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ijpe.2005.12.00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oi.org/10.1016/j.cie.2021.10740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080/00207543.2016.1213446"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doi.org/10.1016/j.pursup.2013.07.003" TargetMode="External"/><Relationship Id="rId4" Type="http://schemas.openxmlformats.org/officeDocument/2006/relationships/numbering" Target="numbering.xml"/><Relationship Id="rId9" Type="http://schemas.openxmlformats.org/officeDocument/2006/relationships/hyperlink" Target="https://www.bbc.co.uk/news/uk-wales-politics-6440070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33962296FC3B9438FE56354E73DA5C9" ma:contentTypeVersion="16" ma:contentTypeDescription="Create a new document." ma:contentTypeScope="" ma:versionID="b7c4f52ea934a34a75465fcf372fc864">
  <xsd:schema xmlns:xsd="http://www.w3.org/2001/XMLSchema" xmlns:xs="http://www.w3.org/2001/XMLSchema" xmlns:p="http://schemas.microsoft.com/office/2006/metadata/properties" xmlns:ns3="9ec95ddb-17cc-4770-b1d2-c9e2d8a1f301" xmlns:ns4="17359a95-3b48-471e-9c0f-fde2c85b163b" targetNamespace="http://schemas.microsoft.com/office/2006/metadata/properties" ma:root="true" ma:fieldsID="b943b094dee047e699649aee9f537fb6" ns3:_="" ns4:_="">
    <xsd:import namespace="9ec95ddb-17cc-4770-b1d2-c9e2d8a1f301"/>
    <xsd:import namespace="17359a95-3b48-471e-9c0f-fde2c85b16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_activity"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95ddb-17cc-4770-b1d2-c9e2d8a1f30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359a95-3b48-471e-9c0f-fde2c85b163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ec95ddb-17cc-4770-b1d2-c9e2d8a1f301" xsi:nil="true"/>
  </documentManagement>
</p:properties>
</file>

<file path=customXml/itemProps1.xml><?xml version="1.0" encoding="utf-8"?>
<ds:datastoreItem xmlns:ds="http://schemas.openxmlformats.org/officeDocument/2006/customXml" ds:itemID="{4A6DE1F5-0FDA-4C32-AD33-B2202FF88D20}">
  <ds:schemaRefs>
    <ds:schemaRef ds:uri="http://schemas.microsoft.com/sharepoint/v3/contenttype/forms"/>
  </ds:schemaRefs>
</ds:datastoreItem>
</file>

<file path=customXml/itemProps2.xml><?xml version="1.0" encoding="utf-8"?>
<ds:datastoreItem xmlns:ds="http://schemas.openxmlformats.org/officeDocument/2006/customXml" ds:itemID="{DD677E59-6A74-42D1-8E59-F5F0B29C4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95ddb-17cc-4770-b1d2-c9e2d8a1f301"/>
    <ds:schemaRef ds:uri="17359a95-3b48-471e-9c0f-fde2c85b16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24209-7A02-4E8D-BEAB-7C75CC978668}">
  <ds:schemaRefs>
    <ds:schemaRef ds:uri="http://schemas.microsoft.com/office/2006/metadata/properties"/>
    <ds:schemaRef ds:uri="http://schemas.microsoft.com/office/infopath/2007/PartnerControls"/>
    <ds:schemaRef ds:uri="9ec95ddb-17cc-4770-b1d2-c9e2d8a1f301"/>
  </ds:schemaRefs>
</ds:datastoreItem>
</file>

<file path=docProps/app.xml><?xml version="1.0" encoding="utf-8"?>
<Properties xmlns="http://schemas.openxmlformats.org/officeDocument/2006/extended-properties" xmlns:vt="http://schemas.openxmlformats.org/officeDocument/2006/docPropsVTypes">
  <Template>Normal</Template>
  <TotalTime>8582</TotalTime>
  <Pages>5</Pages>
  <Words>2913</Words>
  <Characters>16608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Mason-Jones, Rachel</dc:creator>
  <cp:keywords/>
  <dc:description/>
  <cp:lastModifiedBy>Mason-Jones, Rachel</cp:lastModifiedBy>
  <cp:revision>92</cp:revision>
  <dcterms:created xsi:type="dcterms:W3CDTF">2023-12-05T14:29:00Z</dcterms:created>
  <dcterms:modified xsi:type="dcterms:W3CDTF">2024-01-15T12:41:00Z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0x010100D33962296FC3B9438FE56354E73DA5C9</vt:lpwstr>
  </property>
</Properties>
</file>