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7982B" w14:textId="3C3E00F7" w:rsidR="00D869AD" w:rsidRPr="00A15D32" w:rsidRDefault="00D869AD">
      <w:pPr>
        <w:rPr>
          <w:b/>
          <w:bCs/>
          <w:sz w:val="28"/>
          <w:szCs w:val="28"/>
        </w:rPr>
      </w:pPr>
      <w:r w:rsidRPr="00A15D32">
        <w:rPr>
          <w:b/>
          <w:bCs/>
          <w:sz w:val="28"/>
          <w:szCs w:val="28"/>
        </w:rPr>
        <w:t xml:space="preserve">Locals’ tales </w:t>
      </w:r>
      <w:r w:rsidR="00382CBE" w:rsidRPr="00A15D32">
        <w:rPr>
          <w:b/>
          <w:bCs/>
          <w:sz w:val="28"/>
          <w:szCs w:val="28"/>
        </w:rPr>
        <w:t>and</w:t>
      </w:r>
      <w:r w:rsidRPr="00A15D32">
        <w:rPr>
          <w:b/>
          <w:bCs/>
          <w:sz w:val="28"/>
          <w:szCs w:val="28"/>
        </w:rPr>
        <w:t xml:space="preserve"> tourist trails:  a regenerative tourism</w:t>
      </w:r>
      <w:r w:rsidR="00603124" w:rsidRPr="00A15D32">
        <w:rPr>
          <w:b/>
          <w:bCs/>
          <w:sz w:val="28"/>
          <w:szCs w:val="28"/>
        </w:rPr>
        <w:t xml:space="preserve"> </w:t>
      </w:r>
      <w:r w:rsidR="00C750B8" w:rsidRPr="00A15D32">
        <w:rPr>
          <w:b/>
          <w:bCs/>
          <w:sz w:val="28"/>
          <w:szCs w:val="28"/>
        </w:rPr>
        <w:t>approach</w:t>
      </w:r>
      <w:r w:rsidRPr="00A15D32">
        <w:rPr>
          <w:b/>
          <w:bCs/>
          <w:sz w:val="28"/>
          <w:szCs w:val="28"/>
        </w:rPr>
        <w:t xml:space="preserve"> for Bridgend, South Wales</w:t>
      </w:r>
    </w:p>
    <w:p w14:paraId="3C7890D7" w14:textId="77777777" w:rsidR="00F27A87" w:rsidRPr="00754882" w:rsidRDefault="00F27A87">
      <w:pPr>
        <w:rPr>
          <w:b/>
          <w:bCs/>
        </w:rPr>
      </w:pPr>
    </w:p>
    <w:p w14:paraId="6F201F8F" w14:textId="0721753C" w:rsidR="00174A35" w:rsidRPr="00754882" w:rsidRDefault="00174A35">
      <w:pPr>
        <w:rPr>
          <w:b/>
          <w:bCs/>
          <w:vertAlign w:val="superscript"/>
        </w:rPr>
      </w:pPr>
      <w:proofErr w:type="spellStart"/>
      <w:r w:rsidRPr="00754882">
        <w:rPr>
          <w:b/>
          <w:bCs/>
        </w:rPr>
        <w:t>Dr.</w:t>
      </w:r>
      <w:proofErr w:type="spellEnd"/>
      <w:r w:rsidRPr="00754882">
        <w:rPr>
          <w:b/>
          <w:bCs/>
        </w:rPr>
        <w:t xml:space="preserve"> Karen Davies</w:t>
      </w:r>
      <w:r w:rsidR="005935D2" w:rsidRPr="00754882">
        <w:rPr>
          <w:b/>
          <w:bCs/>
          <w:vertAlign w:val="superscript"/>
        </w:rPr>
        <w:t>1</w:t>
      </w:r>
      <w:r w:rsidR="00110E5C" w:rsidRPr="00754882">
        <w:rPr>
          <w:b/>
          <w:bCs/>
          <w:vertAlign w:val="superscript"/>
        </w:rPr>
        <w:t>*</w:t>
      </w:r>
      <w:r w:rsidRPr="00754882">
        <w:rPr>
          <w:b/>
          <w:bCs/>
        </w:rPr>
        <w:t xml:space="preserve">, </w:t>
      </w:r>
      <w:proofErr w:type="spellStart"/>
      <w:r w:rsidRPr="00754882">
        <w:rPr>
          <w:b/>
          <w:bCs/>
        </w:rPr>
        <w:t>Dr.</w:t>
      </w:r>
      <w:proofErr w:type="spellEnd"/>
      <w:r w:rsidRPr="00754882">
        <w:rPr>
          <w:b/>
          <w:bCs/>
        </w:rPr>
        <w:t xml:space="preserve"> Christina Thatc</w:t>
      </w:r>
      <w:r w:rsidR="00570339" w:rsidRPr="00754882">
        <w:rPr>
          <w:b/>
          <w:bCs/>
        </w:rPr>
        <w:t>h</w:t>
      </w:r>
      <w:r w:rsidRPr="00754882">
        <w:rPr>
          <w:b/>
          <w:bCs/>
        </w:rPr>
        <w:t>er</w:t>
      </w:r>
      <w:r w:rsidR="005935D2" w:rsidRPr="00754882">
        <w:rPr>
          <w:b/>
          <w:bCs/>
          <w:vertAlign w:val="superscript"/>
        </w:rPr>
        <w:t>4</w:t>
      </w:r>
      <w:r w:rsidRPr="00754882">
        <w:rPr>
          <w:b/>
          <w:bCs/>
        </w:rPr>
        <w:t xml:space="preserve">, </w:t>
      </w:r>
      <w:proofErr w:type="spellStart"/>
      <w:r w:rsidRPr="00754882">
        <w:rPr>
          <w:b/>
          <w:bCs/>
        </w:rPr>
        <w:t>Dr</w:t>
      </w:r>
      <w:r w:rsidR="0016105E" w:rsidRPr="00754882">
        <w:rPr>
          <w:b/>
          <w:bCs/>
        </w:rPr>
        <w:t>.</w:t>
      </w:r>
      <w:proofErr w:type="spellEnd"/>
      <w:r w:rsidR="0016105E" w:rsidRPr="00754882">
        <w:rPr>
          <w:b/>
          <w:bCs/>
        </w:rPr>
        <w:t xml:space="preserve"> Rhiannon Packer</w:t>
      </w:r>
      <w:r w:rsidR="005935D2" w:rsidRPr="00754882">
        <w:rPr>
          <w:b/>
          <w:bCs/>
          <w:vertAlign w:val="superscript"/>
        </w:rPr>
        <w:t>2</w:t>
      </w:r>
      <w:r w:rsidR="0016105E" w:rsidRPr="00754882">
        <w:rPr>
          <w:b/>
          <w:bCs/>
        </w:rPr>
        <w:t xml:space="preserve">, </w:t>
      </w:r>
      <w:r w:rsidR="00922B21" w:rsidRPr="00754882">
        <w:rPr>
          <w:b/>
          <w:bCs/>
        </w:rPr>
        <w:t>Prof. Claire Haven-Tang</w:t>
      </w:r>
      <w:r w:rsidR="005935D2" w:rsidRPr="00754882">
        <w:rPr>
          <w:b/>
          <w:bCs/>
          <w:vertAlign w:val="superscript"/>
        </w:rPr>
        <w:t>1</w:t>
      </w:r>
      <w:r w:rsidR="005A785E" w:rsidRPr="00754882">
        <w:rPr>
          <w:b/>
          <w:bCs/>
        </w:rPr>
        <w:t xml:space="preserve">, </w:t>
      </w:r>
      <w:proofErr w:type="spellStart"/>
      <w:r w:rsidR="005A785E" w:rsidRPr="00754882">
        <w:rPr>
          <w:b/>
          <w:bCs/>
        </w:rPr>
        <w:t>Dr.</w:t>
      </w:r>
      <w:proofErr w:type="spellEnd"/>
      <w:r w:rsidR="005A785E" w:rsidRPr="00754882">
        <w:rPr>
          <w:b/>
          <w:bCs/>
        </w:rPr>
        <w:t xml:space="preserve"> </w:t>
      </w:r>
      <w:r w:rsidR="005935D2" w:rsidRPr="00754882">
        <w:rPr>
          <w:b/>
          <w:bCs/>
        </w:rPr>
        <w:t>Andrew Thomas</w:t>
      </w:r>
      <w:r w:rsidR="005935D2" w:rsidRPr="00754882">
        <w:rPr>
          <w:b/>
          <w:bCs/>
          <w:vertAlign w:val="superscript"/>
        </w:rPr>
        <w:t>3</w:t>
      </w:r>
    </w:p>
    <w:p w14:paraId="1C146190" w14:textId="4B24EA59" w:rsidR="005935D2" w:rsidRPr="00754882" w:rsidRDefault="004B5D63">
      <w:pPr>
        <w:rPr>
          <w:b/>
          <w:bCs/>
        </w:rPr>
      </w:pPr>
      <w:r w:rsidRPr="00754882">
        <w:rPr>
          <w:b/>
          <w:bCs/>
          <w:vertAlign w:val="superscript"/>
        </w:rPr>
        <w:t>1</w:t>
      </w:r>
      <w:r w:rsidRPr="00754882">
        <w:t>Cardiff School of Management</w:t>
      </w:r>
      <w:r w:rsidRPr="00754882">
        <w:rPr>
          <w:b/>
          <w:bCs/>
        </w:rPr>
        <w:t xml:space="preserve">, </w:t>
      </w:r>
      <w:r w:rsidRPr="00754882">
        <w:t>Cardiff Metropolitan University</w:t>
      </w:r>
    </w:p>
    <w:p w14:paraId="2D1B77AB" w14:textId="2158C4C3" w:rsidR="004B5D63" w:rsidRPr="00754882" w:rsidRDefault="00B64A70">
      <w:r w:rsidRPr="00754882">
        <w:rPr>
          <w:vertAlign w:val="superscript"/>
        </w:rPr>
        <w:t>2</w:t>
      </w:r>
      <w:r w:rsidRPr="00754882">
        <w:t>Cardiff School of Education and Social Policy, Cardiff Metropolitan University</w:t>
      </w:r>
    </w:p>
    <w:p w14:paraId="265FADFD" w14:textId="55CD7014" w:rsidR="00B64A70" w:rsidRPr="00754882" w:rsidRDefault="00B64A70">
      <w:r w:rsidRPr="00754882">
        <w:rPr>
          <w:vertAlign w:val="superscript"/>
        </w:rPr>
        <w:t>3</w:t>
      </w:r>
      <w:r w:rsidRPr="00754882">
        <w:t xml:space="preserve">Cardiff School of </w:t>
      </w:r>
      <w:r w:rsidR="00C44420" w:rsidRPr="00754882">
        <w:t xml:space="preserve">Sport and </w:t>
      </w:r>
      <w:r w:rsidRPr="00754882">
        <w:t>Health Sciences, Cardiff Metropolitan University</w:t>
      </w:r>
    </w:p>
    <w:p w14:paraId="58D60F47" w14:textId="5AA7D562" w:rsidR="00B64A70" w:rsidRPr="00754882" w:rsidRDefault="00B64A70">
      <w:pPr>
        <w:rPr>
          <w:b/>
          <w:bCs/>
        </w:rPr>
      </w:pPr>
      <w:r w:rsidRPr="00754882">
        <w:rPr>
          <w:vertAlign w:val="superscript"/>
        </w:rPr>
        <w:t>4</w:t>
      </w:r>
      <w:r w:rsidR="005232A3" w:rsidRPr="00754882">
        <w:t xml:space="preserve">Cardiff </w:t>
      </w:r>
      <w:r w:rsidR="00F27A87" w:rsidRPr="00754882">
        <w:t>School of English, Communication and Philosophy, Cardiff University</w:t>
      </w:r>
    </w:p>
    <w:p w14:paraId="0DC34879" w14:textId="5DA7946D" w:rsidR="00F27A87" w:rsidRPr="00754882" w:rsidRDefault="002C0DC7">
      <w:pPr>
        <w:rPr>
          <w:b/>
          <w:bCs/>
        </w:rPr>
      </w:pPr>
      <w:hyperlink r:id="rId6" w:history="1">
        <w:r w:rsidR="00C80E9C" w:rsidRPr="00754882">
          <w:rPr>
            <w:rStyle w:val="Hyperlink"/>
            <w:b/>
            <w:bCs/>
          </w:rPr>
          <w:t>*kardavies@cardiffmet.ac.uk</w:t>
        </w:r>
      </w:hyperlink>
    </w:p>
    <w:p w14:paraId="2BE17ACD" w14:textId="77777777" w:rsidR="00C80E9C" w:rsidRPr="00754882" w:rsidRDefault="00C80E9C">
      <w:pPr>
        <w:rPr>
          <w:b/>
          <w:bCs/>
        </w:rPr>
      </w:pPr>
    </w:p>
    <w:p w14:paraId="24CEEE83" w14:textId="49FDE25A" w:rsidR="000D1048" w:rsidRPr="00754882" w:rsidRDefault="000D1048">
      <w:pPr>
        <w:rPr>
          <w:b/>
          <w:bCs/>
        </w:rPr>
      </w:pPr>
      <w:r w:rsidRPr="00754882">
        <w:rPr>
          <w:b/>
          <w:bCs/>
        </w:rPr>
        <w:t xml:space="preserve">Key words:  </w:t>
      </w:r>
      <w:r w:rsidRPr="00754882">
        <w:t>regenerative tourism, mapping, stories</w:t>
      </w:r>
      <w:r w:rsidR="00561686" w:rsidRPr="00754882">
        <w:t>, tourist trails</w:t>
      </w:r>
    </w:p>
    <w:p w14:paraId="7D4EC508" w14:textId="742BC749" w:rsidR="000E0982" w:rsidRPr="00754882" w:rsidRDefault="000E0982">
      <w:pPr>
        <w:rPr>
          <w:b/>
          <w:bCs/>
        </w:rPr>
      </w:pPr>
      <w:r w:rsidRPr="00754882">
        <w:rPr>
          <w:b/>
          <w:bCs/>
        </w:rPr>
        <w:t>Introduction</w:t>
      </w:r>
    </w:p>
    <w:p w14:paraId="1EBCD3A7" w14:textId="2F0FB6C7" w:rsidR="00891CB9" w:rsidRPr="00754882" w:rsidRDefault="003875EE" w:rsidP="00891CB9">
      <w:pPr>
        <w:jc w:val="both"/>
        <w:rPr>
          <w:rFonts w:cstheme="minorHAnsi"/>
          <w:color w:val="000000"/>
        </w:rPr>
      </w:pPr>
      <w:r w:rsidRPr="00754882">
        <w:t>To date there is little empirical evidence of regenerative tourism case studies (</w:t>
      </w:r>
      <w:proofErr w:type="spellStart"/>
      <w:r w:rsidRPr="00754882">
        <w:t>Bellato</w:t>
      </w:r>
      <w:proofErr w:type="spellEnd"/>
      <w:r w:rsidRPr="00754882">
        <w:t xml:space="preserve"> et al., 2023b)</w:t>
      </w:r>
      <w:r w:rsidR="001B2A82" w:rsidRPr="00754882">
        <w:t xml:space="preserve"> </w:t>
      </w:r>
      <w:r w:rsidRPr="00754882">
        <w:t xml:space="preserve">perhaps due to the inherently organic nature of such a concept leading to methodological difficulties and </w:t>
      </w:r>
      <w:r w:rsidR="00A77100" w:rsidRPr="00754882">
        <w:t>complexities</w:t>
      </w:r>
      <w:r w:rsidRPr="00754882">
        <w:t xml:space="preserve">.  This paper explores an action-oriented research paradigm, whereby the act of undertaking the research </w:t>
      </w:r>
      <w:r w:rsidR="001B2A82" w:rsidRPr="00754882">
        <w:t>is</w:t>
      </w:r>
      <w:r w:rsidRPr="00754882">
        <w:t xml:space="preserve"> a catalyst for regenerative tourism within a specific region.  </w:t>
      </w:r>
      <w:r w:rsidR="00891CB9" w:rsidRPr="00754882">
        <w:t>T</w:t>
      </w:r>
      <w:r w:rsidR="00675D84" w:rsidRPr="00754882">
        <w:t>he</w:t>
      </w:r>
      <w:r w:rsidR="00891CB9" w:rsidRPr="00754882">
        <w:t xml:space="preserve"> paper presents </w:t>
      </w:r>
      <w:r w:rsidR="001B2A82" w:rsidRPr="00754882">
        <w:t>several</w:t>
      </w:r>
      <w:r w:rsidR="00891CB9" w:rsidRPr="00754882">
        <w:t xml:space="preserve"> datasets </w:t>
      </w:r>
      <w:r w:rsidR="001B2A82" w:rsidRPr="00754882">
        <w:t xml:space="preserve">forming the </w:t>
      </w:r>
      <w:proofErr w:type="gramStart"/>
      <w:r w:rsidR="001B2A82" w:rsidRPr="00754882">
        <w:t xml:space="preserve">first </w:t>
      </w:r>
      <w:r w:rsidR="00891CB9" w:rsidRPr="00754882">
        <w:t xml:space="preserve"> phase</w:t>
      </w:r>
      <w:proofErr w:type="gramEnd"/>
      <w:r w:rsidR="00891CB9" w:rsidRPr="00754882">
        <w:t xml:space="preserve"> of a project that seeks to explore the implementation of a successful regenerative tourism approach for Bridgend County Borough (BCB), South Wales</w:t>
      </w:r>
      <w:r w:rsidR="009B4E97" w:rsidRPr="00754882">
        <w:t>,</w:t>
      </w:r>
      <w:r w:rsidR="00A001D0" w:rsidRPr="00754882">
        <w:t xml:space="preserve"> to culminate</w:t>
      </w:r>
      <w:r w:rsidR="009B4E97" w:rsidRPr="00754882">
        <w:t xml:space="preserve"> in the use of the ‘</w:t>
      </w:r>
      <w:proofErr w:type="spellStart"/>
      <w:r w:rsidR="009B4E97" w:rsidRPr="00754882">
        <w:fldChar w:fldCharType="begin"/>
      </w:r>
      <w:r w:rsidR="009B4E97" w:rsidRPr="00754882">
        <w:instrText>HYPERLINK "https://geotourist.com/"</w:instrText>
      </w:r>
      <w:r w:rsidR="009B4E97" w:rsidRPr="00754882">
        <w:fldChar w:fldCharType="separate"/>
      </w:r>
      <w:r w:rsidR="009B4E97" w:rsidRPr="00754882">
        <w:rPr>
          <w:rStyle w:val="Hyperlink"/>
        </w:rPr>
        <w:t>Geotourist</w:t>
      </w:r>
      <w:proofErr w:type="spellEnd"/>
      <w:r w:rsidR="009B4E97" w:rsidRPr="00754882">
        <w:rPr>
          <w:rStyle w:val="Hyperlink"/>
        </w:rPr>
        <w:t>’ App</w:t>
      </w:r>
      <w:r w:rsidR="009B4E97" w:rsidRPr="00754882">
        <w:fldChar w:fldCharType="end"/>
      </w:r>
      <w:r w:rsidR="00891CB9" w:rsidRPr="00754882">
        <w:t xml:space="preserve">.   </w:t>
      </w:r>
      <w:r w:rsidR="00C80E9C" w:rsidRPr="00754882">
        <w:rPr>
          <w:rFonts w:cstheme="minorHAnsi"/>
          <w:color w:val="000000"/>
        </w:rPr>
        <w:t>It</w:t>
      </w:r>
      <w:r w:rsidR="00891CB9" w:rsidRPr="00754882">
        <w:rPr>
          <w:rFonts w:cstheme="minorHAnsi"/>
          <w:color w:val="000000"/>
        </w:rPr>
        <w:t xml:space="preserve"> offers an insight into the various techniques with which to engage with communities </w:t>
      </w:r>
      <w:proofErr w:type="gramStart"/>
      <w:r w:rsidR="00891CB9" w:rsidRPr="00754882">
        <w:rPr>
          <w:rFonts w:cstheme="minorHAnsi"/>
          <w:color w:val="000000"/>
        </w:rPr>
        <w:t>in order to</w:t>
      </w:r>
      <w:proofErr w:type="gramEnd"/>
      <w:r w:rsidR="00891CB9" w:rsidRPr="00754882">
        <w:rPr>
          <w:rFonts w:cstheme="minorHAnsi"/>
          <w:color w:val="000000"/>
        </w:rPr>
        <w:t xml:space="preserve"> enhance regenerative tourism in BCB,</w:t>
      </w:r>
      <w:r w:rsidR="0006583D" w:rsidRPr="00754882">
        <w:rPr>
          <w:rFonts w:cstheme="minorHAnsi"/>
          <w:color w:val="000000"/>
        </w:rPr>
        <w:t xml:space="preserve"> </w:t>
      </w:r>
      <w:r w:rsidR="007A193A" w:rsidRPr="00754882">
        <w:rPr>
          <w:rFonts w:cstheme="minorHAnsi"/>
          <w:color w:val="000000"/>
        </w:rPr>
        <w:t xml:space="preserve">with the potential for </w:t>
      </w:r>
      <w:r w:rsidR="0084790E" w:rsidRPr="00754882">
        <w:rPr>
          <w:rFonts w:cstheme="minorHAnsi"/>
          <w:color w:val="000000"/>
        </w:rPr>
        <w:t xml:space="preserve">a </w:t>
      </w:r>
      <w:r w:rsidR="00270A3F" w:rsidRPr="00754882">
        <w:rPr>
          <w:rFonts w:cstheme="minorHAnsi"/>
          <w:color w:val="000000"/>
        </w:rPr>
        <w:t>fairer societ</w:t>
      </w:r>
      <w:r w:rsidR="0084790E" w:rsidRPr="00754882">
        <w:rPr>
          <w:rFonts w:cstheme="minorHAnsi"/>
          <w:color w:val="000000"/>
        </w:rPr>
        <w:t xml:space="preserve">y, richer culture, healthier communities and </w:t>
      </w:r>
      <w:r w:rsidR="000126AF" w:rsidRPr="00754882">
        <w:rPr>
          <w:rFonts w:cstheme="minorHAnsi"/>
          <w:color w:val="000000"/>
        </w:rPr>
        <w:t>ecological respect</w:t>
      </w:r>
      <w:r w:rsidR="00886C1A" w:rsidRPr="00754882">
        <w:rPr>
          <w:rFonts w:cstheme="minorHAnsi"/>
          <w:color w:val="000000"/>
        </w:rPr>
        <w:t>.  It</w:t>
      </w:r>
      <w:r w:rsidR="00891CB9" w:rsidRPr="00754882">
        <w:rPr>
          <w:rFonts w:cstheme="minorHAnsi"/>
          <w:color w:val="000000"/>
        </w:rPr>
        <w:t xml:space="preserve"> adds to the current literature around regenerative tourism, providing a case study example of action-oriented research.</w:t>
      </w:r>
    </w:p>
    <w:p w14:paraId="63B8AE25" w14:textId="4334A845" w:rsidR="009A65CE" w:rsidRPr="00754882" w:rsidRDefault="009A65CE" w:rsidP="003618EF">
      <w:pPr>
        <w:jc w:val="both"/>
        <w:rPr>
          <w:b/>
          <w:bCs/>
        </w:rPr>
      </w:pPr>
      <w:r w:rsidRPr="00754882">
        <w:rPr>
          <w:b/>
          <w:bCs/>
        </w:rPr>
        <w:t>Background information</w:t>
      </w:r>
    </w:p>
    <w:p w14:paraId="2EE00922" w14:textId="108D8E06" w:rsidR="00C04FC3" w:rsidRPr="00754882" w:rsidRDefault="00C04FC3" w:rsidP="00C04FC3">
      <w:pPr>
        <w:jc w:val="both"/>
        <w:rPr>
          <w:rFonts w:cstheme="minorHAnsi"/>
          <w:color w:val="000000"/>
        </w:rPr>
      </w:pPr>
      <w:r w:rsidRPr="00754882">
        <w:t xml:space="preserve">The long term aim of the project </w:t>
      </w:r>
      <w:r w:rsidR="009B4E97" w:rsidRPr="00754882">
        <w:t>i</w:t>
      </w:r>
      <w:r w:rsidRPr="00754882">
        <w:t xml:space="preserve">s </w:t>
      </w:r>
      <w:r w:rsidRPr="00754882">
        <w:rPr>
          <w:rFonts w:cstheme="minorHAnsi"/>
          <w:color w:val="000000"/>
        </w:rPr>
        <w:t xml:space="preserve">to develop grassroots-inspired destination packages as a route to post-Covid-19 sustainable tourism recovery throughout Wales, creating visitor experiences </w:t>
      </w:r>
      <w:r w:rsidR="001B2A82" w:rsidRPr="00754882">
        <w:rPr>
          <w:rFonts w:cstheme="minorHAnsi"/>
          <w:color w:val="000000"/>
        </w:rPr>
        <w:t xml:space="preserve">to </w:t>
      </w:r>
      <w:r w:rsidRPr="00754882">
        <w:rPr>
          <w:rFonts w:cstheme="minorHAnsi"/>
          <w:color w:val="000000"/>
        </w:rPr>
        <w:t>encourage knowledge and awareness of the destination’s local cultural and natural environments</w:t>
      </w:r>
      <w:r w:rsidR="00853B7E" w:rsidRPr="00754882">
        <w:rPr>
          <w:rFonts w:cstheme="minorHAnsi"/>
          <w:color w:val="000000"/>
        </w:rPr>
        <w:t xml:space="preserve"> </w:t>
      </w:r>
      <w:r w:rsidR="008964CB" w:rsidRPr="00754882">
        <w:rPr>
          <w:rFonts w:cstheme="minorHAnsi"/>
          <w:color w:val="000000"/>
        </w:rPr>
        <w:t>(Pope, 2018)</w:t>
      </w:r>
      <w:r w:rsidR="009B4E97" w:rsidRPr="00754882">
        <w:rPr>
          <w:rFonts w:cstheme="minorHAnsi"/>
          <w:color w:val="000000"/>
        </w:rPr>
        <w:t>.  This can also serve to</w:t>
      </w:r>
      <w:r w:rsidRPr="00754882">
        <w:rPr>
          <w:rFonts w:cstheme="minorHAnsi"/>
          <w:color w:val="000000"/>
        </w:rPr>
        <w:t xml:space="preserve"> improve the physiological and psychological well-being </w:t>
      </w:r>
      <w:r w:rsidR="001B2A82" w:rsidRPr="00754882">
        <w:rPr>
          <w:rFonts w:cstheme="minorHAnsi"/>
          <w:color w:val="000000"/>
        </w:rPr>
        <w:t xml:space="preserve">of </w:t>
      </w:r>
      <w:r w:rsidRPr="00754882">
        <w:rPr>
          <w:rFonts w:cstheme="minorHAnsi"/>
          <w:color w:val="000000"/>
        </w:rPr>
        <w:t xml:space="preserve">both locals and tourists.  In the process of piloting the project in the </w:t>
      </w:r>
      <w:r w:rsidR="009B4E97" w:rsidRPr="00754882">
        <w:rPr>
          <w:rFonts w:cstheme="minorHAnsi"/>
          <w:color w:val="000000"/>
        </w:rPr>
        <w:t>first phase of the study</w:t>
      </w:r>
      <w:r w:rsidR="003D66D0" w:rsidRPr="00754882">
        <w:rPr>
          <w:rFonts w:cstheme="minorHAnsi"/>
          <w:color w:val="000000"/>
        </w:rPr>
        <w:t xml:space="preserve"> in </w:t>
      </w:r>
      <w:r w:rsidR="008E43F2" w:rsidRPr="00754882">
        <w:rPr>
          <w:rFonts w:cstheme="minorHAnsi"/>
          <w:color w:val="000000"/>
        </w:rPr>
        <w:t>the chosen location of BCB</w:t>
      </w:r>
      <w:r w:rsidRPr="00754882">
        <w:rPr>
          <w:rFonts w:cstheme="minorHAnsi"/>
          <w:color w:val="000000"/>
        </w:rPr>
        <w:t xml:space="preserve">, it became apparent that </w:t>
      </w:r>
      <w:r w:rsidR="001B2A82" w:rsidRPr="00754882">
        <w:rPr>
          <w:rFonts w:cstheme="minorHAnsi"/>
          <w:color w:val="000000"/>
        </w:rPr>
        <w:t xml:space="preserve">a </w:t>
      </w:r>
      <w:r w:rsidRPr="00754882">
        <w:rPr>
          <w:rFonts w:cstheme="minorHAnsi"/>
          <w:color w:val="000000"/>
        </w:rPr>
        <w:t xml:space="preserve">‘regenerative tourism’ </w:t>
      </w:r>
      <w:r w:rsidR="00B77AF9" w:rsidRPr="00754882">
        <w:rPr>
          <w:rFonts w:cstheme="minorHAnsi"/>
          <w:color w:val="000000"/>
        </w:rPr>
        <w:t>paradigm</w:t>
      </w:r>
      <w:r w:rsidRPr="00754882">
        <w:rPr>
          <w:rFonts w:cstheme="minorHAnsi"/>
          <w:color w:val="000000"/>
        </w:rPr>
        <w:t xml:space="preserve"> was </w:t>
      </w:r>
      <w:r w:rsidR="001B2A82" w:rsidRPr="00754882">
        <w:rPr>
          <w:rFonts w:cstheme="minorHAnsi"/>
          <w:color w:val="000000"/>
        </w:rPr>
        <w:t>more appropriate</w:t>
      </w:r>
      <w:r w:rsidRPr="00754882">
        <w:rPr>
          <w:rFonts w:cstheme="minorHAnsi"/>
          <w:color w:val="000000"/>
        </w:rPr>
        <w:t xml:space="preserve"> as opposed to ‘destination packages’ per se</w:t>
      </w:r>
      <w:r w:rsidR="001B2A82" w:rsidRPr="00754882">
        <w:rPr>
          <w:rFonts w:cstheme="minorHAnsi"/>
          <w:color w:val="000000"/>
        </w:rPr>
        <w:t>.  The idea was that</w:t>
      </w:r>
      <w:r w:rsidRPr="00754882">
        <w:rPr>
          <w:rFonts w:cstheme="minorHAnsi"/>
          <w:color w:val="000000"/>
        </w:rPr>
        <w:t xml:space="preserve"> a set of trails could be developed </w:t>
      </w:r>
      <w:r w:rsidR="001B2A82" w:rsidRPr="00754882">
        <w:rPr>
          <w:rFonts w:cstheme="minorHAnsi"/>
          <w:color w:val="000000"/>
        </w:rPr>
        <w:t xml:space="preserve">to </w:t>
      </w:r>
      <w:r w:rsidRPr="00754882">
        <w:rPr>
          <w:rFonts w:cstheme="minorHAnsi"/>
          <w:color w:val="000000"/>
        </w:rPr>
        <w:t xml:space="preserve">link together various elements of cultural and natural heritage within the county to include ‘hidden </w:t>
      </w:r>
      <w:proofErr w:type="gramStart"/>
      <w:r w:rsidRPr="00754882">
        <w:rPr>
          <w:rFonts w:cstheme="minorHAnsi"/>
          <w:color w:val="000000"/>
        </w:rPr>
        <w:t>gems’</w:t>
      </w:r>
      <w:proofErr w:type="gramEnd"/>
      <w:r w:rsidRPr="00754882">
        <w:rPr>
          <w:rFonts w:cstheme="minorHAnsi"/>
          <w:color w:val="000000"/>
        </w:rPr>
        <w:t xml:space="preserve"> and the stories surrounding them.</w:t>
      </w:r>
      <w:r w:rsidR="00C80E9C" w:rsidRPr="00754882">
        <w:rPr>
          <w:rFonts w:cstheme="minorHAnsi"/>
          <w:color w:val="000000"/>
        </w:rPr>
        <w:t xml:space="preserve">  </w:t>
      </w:r>
      <w:r w:rsidR="004670DE" w:rsidRPr="00754882">
        <w:rPr>
          <w:rFonts w:cstheme="minorHAnsi"/>
          <w:color w:val="000000"/>
        </w:rPr>
        <w:t>L</w:t>
      </w:r>
      <w:r w:rsidRPr="00754882">
        <w:rPr>
          <w:rFonts w:cstheme="minorHAnsi"/>
          <w:color w:val="000000"/>
        </w:rPr>
        <w:t>ocal hospitality outlets, community-run events, eco-friendly accommodation offerings and sustainable transport networks</w:t>
      </w:r>
      <w:r w:rsidR="004670DE" w:rsidRPr="00754882">
        <w:rPr>
          <w:rFonts w:cstheme="minorHAnsi"/>
          <w:color w:val="000000"/>
        </w:rPr>
        <w:t xml:space="preserve"> </w:t>
      </w:r>
      <w:r w:rsidR="00A001D0" w:rsidRPr="00754882">
        <w:rPr>
          <w:rFonts w:cstheme="minorHAnsi"/>
          <w:color w:val="000000"/>
        </w:rPr>
        <w:t>would</w:t>
      </w:r>
      <w:r w:rsidR="004670DE" w:rsidRPr="00754882">
        <w:rPr>
          <w:rFonts w:cstheme="minorHAnsi"/>
          <w:color w:val="000000"/>
        </w:rPr>
        <w:t xml:space="preserve"> be highlighted on each trail to facilitate the experience for the </w:t>
      </w:r>
      <w:proofErr w:type="spellStart"/>
      <w:r w:rsidR="004670DE" w:rsidRPr="00754882">
        <w:rPr>
          <w:rFonts w:cstheme="minorHAnsi"/>
          <w:color w:val="000000"/>
        </w:rPr>
        <w:t>trailfinder</w:t>
      </w:r>
      <w:proofErr w:type="spellEnd"/>
      <w:r w:rsidRPr="00754882">
        <w:rPr>
          <w:rFonts w:cstheme="minorHAnsi"/>
          <w:color w:val="000000"/>
        </w:rPr>
        <w:t xml:space="preserve">.   </w:t>
      </w:r>
    </w:p>
    <w:p w14:paraId="75C2F6BC" w14:textId="2C0F6C98" w:rsidR="005D0D5A" w:rsidRPr="00754882" w:rsidRDefault="00D869AD" w:rsidP="005D0D5A">
      <w:pPr>
        <w:jc w:val="both"/>
      </w:pPr>
      <w:r w:rsidRPr="00754882">
        <w:t>Regenerative tourism</w:t>
      </w:r>
      <w:r w:rsidR="0058598E" w:rsidRPr="00754882">
        <w:t xml:space="preserve"> </w:t>
      </w:r>
      <w:r w:rsidR="00370134" w:rsidRPr="00754882">
        <w:t xml:space="preserve">“seeks to ensure travel and tourism delivers a net positive benefit to people, places and nature, and </w:t>
      </w:r>
      <w:r w:rsidR="00AA5F5C" w:rsidRPr="00754882">
        <w:t>[</w:t>
      </w:r>
      <w:r w:rsidR="00370134" w:rsidRPr="00754882">
        <w:t>…</w:t>
      </w:r>
      <w:r w:rsidR="00AA5F5C" w:rsidRPr="00754882">
        <w:t>]</w:t>
      </w:r>
      <w:r w:rsidR="00370134" w:rsidRPr="00754882">
        <w:t xml:space="preserve"> supports the long-term renewal and flourishing of our social and ecological systems</w:t>
      </w:r>
      <w:r w:rsidR="00AA5F5C" w:rsidRPr="00754882">
        <w:t>”</w:t>
      </w:r>
      <w:r w:rsidR="00DE62E4" w:rsidRPr="00754882">
        <w:t xml:space="preserve"> (</w:t>
      </w:r>
      <w:r w:rsidR="00AA5F5C" w:rsidRPr="00754882">
        <w:t>Dredge</w:t>
      </w:r>
      <w:r w:rsidR="00DE62E4" w:rsidRPr="00754882">
        <w:t>. 202</w:t>
      </w:r>
      <w:r w:rsidR="00AA5F5C" w:rsidRPr="00754882">
        <w:t>2, p.270</w:t>
      </w:r>
      <w:r w:rsidR="00DE62E4" w:rsidRPr="00754882">
        <w:t>)</w:t>
      </w:r>
      <w:r w:rsidR="00AA5F5C" w:rsidRPr="00754882">
        <w:t xml:space="preserve">.  </w:t>
      </w:r>
      <w:r w:rsidR="00AF0DA3" w:rsidRPr="00754882">
        <w:t xml:space="preserve">It is a recent term that has </w:t>
      </w:r>
      <w:r w:rsidR="00DB40C9" w:rsidRPr="00754882">
        <w:t>developed</w:t>
      </w:r>
      <w:r w:rsidR="009E4FC6" w:rsidRPr="00754882">
        <w:t xml:space="preserve"> </w:t>
      </w:r>
      <w:r w:rsidR="00777643" w:rsidRPr="00754882">
        <w:t xml:space="preserve">or ‘matured’ (Pollock, 2019) </w:t>
      </w:r>
      <w:r w:rsidR="009E4FC6" w:rsidRPr="00754882">
        <w:t xml:space="preserve">from the </w:t>
      </w:r>
      <w:r w:rsidR="00026DE7" w:rsidRPr="00754882">
        <w:t xml:space="preserve">previously well utilised ‘sustainable tourism’ literature and has </w:t>
      </w:r>
      <w:r w:rsidR="006249C9" w:rsidRPr="00754882">
        <w:t>been a particular focus post-</w:t>
      </w:r>
      <w:r w:rsidR="006249C9" w:rsidRPr="00754882">
        <w:lastRenderedPageBreak/>
        <w:t>pandemic</w:t>
      </w:r>
      <w:r w:rsidR="00A869BF" w:rsidRPr="00754882">
        <w:t xml:space="preserve">, </w:t>
      </w:r>
      <w:r w:rsidR="00BB63F4" w:rsidRPr="00754882">
        <w:t>with</w:t>
      </w:r>
      <w:r w:rsidR="00A869BF" w:rsidRPr="00754882">
        <w:t xml:space="preserve"> some seminal </w:t>
      </w:r>
      <w:r w:rsidR="00133150" w:rsidRPr="00754882">
        <w:t xml:space="preserve">foresightful </w:t>
      </w:r>
      <w:r w:rsidR="00A869BF" w:rsidRPr="00754882">
        <w:t xml:space="preserve">works </w:t>
      </w:r>
      <w:r w:rsidR="00BA341C" w:rsidRPr="00754882">
        <w:t>produced</w:t>
      </w:r>
      <w:r w:rsidR="00A869BF" w:rsidRPr="00754882">
        <w:t xml:space="preserve"> </w:t>
      </w:r>
      <w:r w:rsidR="00BC07F8" w:rsidRPr="00754882">
        <w:t>prior to the crisis</w:t>
      </w:r>
      <w:r w:rsidR="00133150" w:rsidRPr="00754882">
        <w:t xml:space="preserve"> (see for example </w:t>
      </w:r>
      <w:proofErr w:type="spellStart"/>
      <w:r w:rsidR="00843792" w:rsidRPr="00754882">
        <w:t>Atjelevic</w:t>
      </w:r>
      <w:proofErr w:type="spellEnd"/>
      <w:r w:rsidR="00D3041E" w:rsidRPr="00754882">
        <w:t xml:space="preserve">, 2020; </w:t>
      </w:r>
      <w:r w:rsidR="00E43EEB" w:rsidRPr="00754882">
        <w:t xml:space="preserve">Cheer, 2020; </w:t>
      </w:r>
      <w:r w:rsidR="00133150" w:rsidRPr="00754882">
        <w:t>Pollock, 2019)</w:t>
      </w:r>
      <w:r w:rsidR="006249C9" w:rsidRPr="00754882">
        <w:t xml:space="preserve">.  Predominantly, </w:t>
      </w:r>
      <w:r w:rsidR="00777643" w:rsidRPr="00754882">
        <w:t>th</w:t>
      </w:r>
      <w:r w:rsidR="0013116B" w:rsidRPr="00754882">
        <w:t>e term</w:t>
      </w:r>
      <w:r w:rsidR="006249C9" w:rsidRPr="00754882">
        <w:t xml:space="preserve"> has </w:t>
      </w:r>
      <w:r w:rsidR="000951E4" w:rsidRPr="00754882">
        <w:t xml:space="preserve">been </w:t>
      </w:r>
      <w:r w:rsidR="006249C9" w:rsidRPr="00754882">
        <w:t xml:space="preserve">explored </w:t>
      </w:r>
      <w:r w:rsidR="00AB46FA" w:rsidRPr="00754882">
        <w:t>conceptually</w:t>
      </w:r>
      <w:r w:rsidR="0090077A" w:rsidRPr="00754882">
        <w:t xml:space="preserve"> where</w:t>
      </w:r>
      <w:r w:rsidR="0013116B" w:rsidRPr="00754882">
        <w:t xml:space="preserve"> the</w:t>
      </w:r>
      <w:r w:rsidR="0090077A" w:rsidRPr="00754882">
        <w:t xml:space="preserve"> literature strives to highlight differences between </w:t>
      </w:r>
      <w:r w:rsidR="000951E4" w:rsidRPr="00754882">
        <w:t>‘regenerative tourism’</w:t>
      </w:r>
      <w:r w:rsidR="0090077A" w:rsidRPr="00754882">
        <w:t xml:space="preserve"> and ‘sustainable tourism’ (Becken &amp; Kaur, 2022; </w:t>
      </w:r>
      <w:proofErr w:type="spellStart"/>
      <w:r w:rsidR="0090077A" w:rsidRPr="00754882">
        <w:t>Bellato</w:t>
      </w:r>
      <w:proofErr w:type="spellEnd"/>
      <w:r w:rsidR="0090077A" w:rsidRPr="00754882">
        <w:t xml:space="preserve"> et al., 20</w:t>
      </w:r>
      <w:r w:rsidR="00EB1B27" w:rsidRPr="00754882">
        <w:t>23a</w:t>
      </w:r>
      <w:r w:rsidR="0090077A" w:rsidRPr="00754882">
        <w:t>;</w:t>
      </w:r>
      <w:r w:rsidR="00EB1B27" w:rsidRPr="00754882">
        <w:t xml:space="preserve"> 2023b</w:t>
      </w:r>
      <w:r w:rsidR="0090077A" w:rsidRPr="00754882">
        <w:t>)</w:t>
      </w:r>
      <w:r w:rsidR="00EB1B27" w:rsidRPr="00754882">
        <w:t>.</w:t>
      </w:r>
      <w:r w:rsidR="0090077A" w:rsidRPr="00754882">
        <w:t xml:space="preserve">   In criticism of the development and terminology within the UNSDG framework, scholars stress that regenerative tourism goes beyond sustainable tourism practices in recognising that tourism systems are part of nature</w:t>
      </w:r>
      <w:r w:rsidR="000951E4" w:rsidRPr="00754882">
        <w:t xml:space="preserve"> (</w:t>
      </w:r>
      <w:r w:rsidR="00CB64BE" w:rsidRPr="00754882">
        <w:t xml:space="preserve">Becken &amp; Kaur, </w:t>
      </w:r>
      <w:r w:rsidR="008645EA" w:rsidRPr="00754882">
        <w:t xml:space="preserve">2022; </w:t>
      </w:r>
      <w:r w:rsidR="00797CD6" w:rsidRPr="00754882">
        <w:t>Dredge, 2022</w:t>
      </w:r>
      <w:r w:rsidR="000951E4" w:rsidRPr="00754882">
        <w:t>)</w:t>
      </w:r>
      <w:r w:rsidR="001949E6" w:rsidRPr="00754882">
        <w:t>.</w:t>
      </w:r>
      <w:r w:rsidR="000951E4" w:rsidRPr="00754882">
        <w:t xml:space="preserve">  </w:t>
      </w:r>
      <w:r w:rsidR="005D0D5A" w:rsidRPr="00754882">
        <w:t xml:space="preserve">Since COVID-19, studies in tourism are focusing on recovery, </w:t>
      </w:r>
      <w:proofErr w:type="gramStart"/>
      <w:r w:rsidR="005D0D5A" w:rsidRPr="00754882">
        <w:t>resilience</w:t>
      </w:r>
      <w:proofErr w:type="gramEnd"/>
      <w:r w:rsidR="005D0D5A" w:rsidRPr="00754882">
        <w:t xml:space="preserve"> and rebuilding (</w:t>
      </w:r>
      <w:proofErr w:type="spellStart"/>
      <w:r w:rsidR="005D0D5A" w:rsidRPr="00754882">
        <w:t>Farsari</w:t>
      </w:r>
      <w:proofErr w:type="spellEnd"/>
      <w:r w:rsidR="005D0D5A" w:rsidRPr="00754882">
        <w:t>, 202</w:t>
      </w:r>
      <w:r w:rsidR="00D36E32" w:rsidRPr="00754882">
        <w:t>3</w:t>
      </w:r>
      <w:r w:rsidR="005D0D5A" w:rsidRPr="00754882">
        <w:t>; Gibson, 2021)</w:t>
      </w:r>
      <w:r w:rsidR="004670DE" w:rsidRPr="00754882">
        <w:t xml:space="preserve">, </w:t>
      </w:r>
      <w:r w:rsidR="00D24698" w:rsidRPr="00754882">
        <w:t xml:space="preserve">complex notions that can be </w:t>
      </w:r>
      <w:r w:rsidR="00274525" w:rsidRPr="00754882">
        <w:t xml:space="preserve">drawn together in a regenerative approach.  </w:t>
      </w:r>
      <w:r w:rsidR="005D0D5A" w:rsidRPr="00754882">
        <w:t xml:space="preserve"> </w:t>
      </w:r>
    </w:p>
    <w:p w14:paraId="74BD4786" w14:textId="496BA3FB" w:rsidR="005D0D5A" w:rsidRPr="00754882" w:rsidRDefault="007F528D" w:rsidP="005D0D5A">
      <w:pPr>
        <w:jc w:val="both"/>
      </w:pPr>
      <w:r w:rsidRPr="00754882">
        <w:t>The area</w:t>
      </w:r>
      <w:r w:rsidR="005D0D5A" w:rsidRPr="00754882">
        <w:t xml:space="preserve"> of BCB</w:t>
      </w:r>
      <w:r w:rsidRPr="00754882">
        <w:t xml:space="preserve">, although rich in cultural and natural heritage, both tangible and intangible, has struggled to attract significant amounts of overnight tourists outside of key sites such as Porthcawl (Bridgend </w:t>
      </w:r>
      <w:r w:rsidR="00780521" w:rsidRPr="00754882">
        <w:t xml:space="preserve">County Borough </w:t>
      </w:r>
      <w:r w:rsidRPr="00754882">
        <w:t>Council</w:t>
      </w:r>
      <w:r w:rsidR="006B1236" w:rsidRPr="00754882">
        <w:t xml:space="preserve"> (BCBC), 2023</w:t>
      </w:r>
      <w:r w:rsidRPr="00754882">
        <w:t>) and still struggles with deprivation in many areas with unemployment and income well below the UK average (</w:t>
      </w:r>
      <w:r w:rsidR="006B1236" w:rsidRPr="00754882">
        <w:t>BCBC, 2022</w:t>
      </w:r>
      <w:r w:rsidRPr="00754882">
        <w:t>).</w:t>
      </w:r>
      <w:r w:rsidR="007C6704" w:rsidRPr="00754882">
        <w:t xml:space="preserve">  </w:t>
      </w:r>
      <w:r w:rsidR="005D0D5A" w:rsidRPr="00754882">
        <w:t xml:space="preserve"> </w:t>
      </w:r>
      <w:r w:rsidR="00274525" w:rsidRPr="00754882">
        <w:t>Reco</w:t>
      </w:r>
      <w:r w:rsidR="00344DFC" w:rsidRPr="00754882">
        <w:t>v</w:t>
      </w:r>
      <w:r w:rsidR="00274525" w:rsidRPr="00754882">
        <w:t xml:space="preserve">ery, </w:t>
      </w:r>
      <w:proofErr w:type="gramStart"/>
      <w:r w:rsidR="00274525" w:rsidRPr="00754882">
        <w:t>rebuilding</w:t>
      </w:r>
      <w:proofErr w:type="gramEnd"/>
      <w:r w:rsidR="00274525" w:rsidRPr="00754882">
        <w:t xml:space="preserve"> and resilience through r</w:t>
      </w:r>
      <w:r w:rsidR="009535A3" w:rsidRPr="00754882">
        <w:t xml:space="preserve">egenerative tourism </w:t>
      </w:r>
      <w:r w:rsidR="00274525" w:rsidRPr="00754882">
        <w:t>is vital for the long-term viability of the region as</w:t>
      </w:r>
      <w:r w:rsidR="00344DFC" w:rsidRPr="00754882">
        <w:t xml:space="preserve"> a destination.</w:t>
      </w:r>
    </w:p>
    <w:p w14:paraId="495186E7" w14:textId="59679DFE" w:rsidR="00966087" w:rsidRPr="00754882" w:rsidRDefault="00966087" w:rsidP="00E40B2B">
      <w:pPr>
        <w:rPr>
          <w:b/>
          <w:bCs/>
        </w:rPr>
      </w:pPr>
      <w:r w:rsidRPr="00754882">
        <w:rPr>
          <w:b/>
          <w:bCs/>
        </w:rPr>
        <w:t>The</w:t>
      </w:r>
      <w:r w:rsidR="00344DFC" w:rsidRPr="00754882">
        <w:rPr>
          <w:b/>
          <w:bCs/>
        </w:rPr>
        <w:t xml:space="preserve"> </w:t>
      </w:r>
      <w:r w:rsidR="009A65CE" w:rsidRPr="00754882">
        <w:rPr>
          <w:b/>
          <w:bCs/>
        </w:rPr>
        <w:t xml:space="preserve">research </w:t>
      </w:r>
      <w:proofErr w:type="gramStart"/>
      <w:r w:rsidR="009A65CE" w:rsidRPr="00754882">
        <w:rPr>
          <w:b/>
          <w:bCs/>
        </w:rPr>
        <w:t>approach</w:t>
      </w:r>
      <w:proofErr w:type="gramEnd"/>
    </w:p>
    <w:p w14:paraId="493D2D0B" w14:textId="66C5CF45" w:rsidR="003176BF" w:rsidRPr="00754882" w:rsidRDefault="00AD6549" w:rsidP="00563102">
      <w:pPr>
        <w:jc w:val="both"/>
      </w:pPr>
      <w:r w:rsidRPr="00754882">
        <w:t xml:space="preserve">As </w:t>
      </w:r>
      <w:proofErr w:type="spellStart"/>
      <w:r w:rsidRPr="00754882">
        <w:t>Bellato</w:t>
      </w:r>
      <w:proofErr w:type="spellEnd"/>
      <w:r w:rsidRPr="00754882">
        <w:t xml:space="preserve"> et al. (2023b) discuss, there are many </w:t>
      </w:r>
      <w:r w:rsidR="008C3DBD" w:rsidRPr="00754882">
        <w:t xml:space="preserve">epistemological </w:t>
      </w:r>
      <w:r w:rsidR="00C130F0" w:rsidRPr="00754882">
        <w:t>shortfalls</w:t>
      </w:r>
      <w:r w:rsidRPr="00754882">
        <w:t xml:space="preserve"> </w:t>
      </w:r>
      <w:r w:rsidR="00E43C55" w:rsidRPr="00754882">
        <w:t>to</w:t>
      </w:r>
      <w:r w:rsidRPr="00754882">
        <w:t xml:space="preserve"> </w:t>
      </w:r>
      <w:r w:rsidR="00C130F0" w:rsidRPr="00754882">
        <w:t>current methods</w:t>
      </w:r>
      <w:r w:rsidR="0015194A" w:rsidRPr="00754882">
        <w:t xml:space="preserve"> for</w:t>
      </w:r>
      <w:r w:rsidR="00C130F0" w:rsidRPr="00754882">
        <w:t xml:space="preserve"> </w:t>
      </w:r>
      <w:r w:rsidR="00E43C55" w:rsidRPr="00754882">
        <w:t>exploring</w:t>
      </w:r>
      <w:r w:rsidR="008C3DBD" w:rsidRPr="00754882">
        <w:t xml:space="preserve"> regenerative tourism</w:t>
      </w:r>
      <w:r w:rsidRPr="00754882">
        <w:t xml:space="preserve">.  </w:t>
      </w:r>
      <w:r w:rsidR="00693B2E" w:rsidRPr="00754882">
        <w:t xml:space="preserve"> </w:t>
      </w:r>
      <w:r w:rsidR="004814E6" w:rsidRPr="00754882">
        <w:t>Suggested i</w:t>
      </w:r>
      <w:r w:rsidR="00627B2F" w:rsidRPr="00754882">
        <w:t>m</w:t>
      </w:r>
      <w:r w:rsidR="00D564C3" w:rsidRPr="00754882">
        <w:t xml:space="preserve">provements </w:t>
      </w:r>
      <w:r w:rsidR="00EE4FA6" w:rsidRPr="00754882">
        <w:t xml:space="preserve">that </w:t>
      </w:r>
      <w:r w:rsidR="00CA147E" w:rsidRPr="00754882">
        <w:t xml:space="preserve">have been </w:t>
      </w:r>
      <w:r w:rsidR="004814E6" w:rsidRPr="00754882">
        <w:t>incorporated</w:t>
      </w:r>
      <w:r w:rsidR="00CA147E" w:rsidRPr="00754882">
        <w:t xml:space="preserve"> within this study </w:t>
      </w:r>
      <w:r w:rsidR="004670DE" w:rsidRPr="00754882">
        <w:t>address</w:t>
      </w:r>
      <w:r w:rsidR="00CA147E" w:rsidRPr="00754882">
        <w:t xml:space="preserve"> </w:t>
      </w:r>
      <w:r w:rsidR="00C84929" w:rsidRPr="00754882">
        <w:t>the importance of</w:t>
      </w:r>
      <w:r w:rsidR="00EE4FA6" w:rsidRPr="00754882">
        <w:t xml:space="preserve"> </w:t>
      </w:r>
      <w:r w:rsidR="00C84929" w:rsidRPr="00754882">
        <w:t>‘relational ways of knowing place and community’</w:t>
      </w:r>
      <w:r w:rsidR="00985FEA" w:rsidRPr="00754882">
        <w:t xml:space="preserve">, the </w:t>
      </w:r>
      <w:r w:rsidR="0028351C" w:rsidRPr="00754882">
        <w:t>‘</w:t>
      </w:r>
      <w:r w:rsidR="00985FEA" w:rsidRPr="00754882">
        <w:t>deep listening to marginalised voices</w:t>
      </w:r>
      <w:r w:rsidR="0028351C" w:rsidRPr="00754882">
        <w:t>’</w:t>
      </w:r>
      <w:r w:rsidR="004E5C1D" w:rsidRPr="00754882">
        <w:t>,</w:t>
      </w:r>
      <w:r w:rsidR="00F71C9E" w:rsidRPr="00754882">
        <w:t xml:space="preserve"> the inclusion of</w:t>
      </w:r>
      <w:r w:rsidR="004E5C1D" w:rsidRPr="00754882">
        <w:t xml:space="preserve"> ‘locally embedded storytelling narrative’</w:t>
      </w:r>
      <w:r w:rsidR="00E51E7B" w:rsidRPr="00754882">
        <w:t xml:space="preserve">, </w:t>
      </w:r>
      <w:r w:rsidR="00AA222C" w:rsidRPr="00754882">
        <w:t>the use of</w:t>
      </w:r>
      <w:r w:rsidR="00487E27" w:rsidRPr="00754882">
        <w:t xml:space="preserve"> </w:t>
      </w:r>
      <w:r w:rsidR="00E51E7B" w:rsidRPr="00754882">
        <w:t>‘</w:t>
      </w:r>
      <w:r w:rsidR="00627FE0" w:rsidRPr="00754882">
        <w:t>participatory approaches</w:t>
      </w:r>
      <w:r w:rsidR="00E51E7B" w:rsidRPr="00754882">
        <w:t>’</w:t>
      </w:r>
      <w:r w:rsidR="00AA222C" w:rsidRPr="00754882">
        <w:t>,</w:t>
      </w:r>
      <w:r w:rsidR="00E51E7B" w:rsidRPr="00754882">
        <w:t xml:space="preserve"> </w:t>
      </w:r>
      <w:r w:rsidR="00627FE0" w:rsidRPr="00754882">
        <w:t>and</w:t>
      </w:r>
      <w:r w:rsidR="00E51E7B" w:rsidRPr="00754882">
        <w:t xml:space="preserve"> the ‘c</w:t>
      </w:r>
      <w:r w:rsidR="00766B5F" w:rsidRPr="00754882">
        <w:t>o-designing</w:t>
      </w:r>
      <w:r w:rsidR="00E51E7B" w:rsidRPr="00754882">
        <w:t xml:space="preserve">’ of </w:t>
      </w:r>
      <w:r w:rsidR="0015194A" w:rsidRPr="00754882">
        <w:t xml:space="preserve">the </w:t>
      </w:r>
      <w:r w:rsidR="00E51E7B" w:rsidRPr="00754882">
        <w:t>research</w:t>
      </w:r>
      <w:r w:rsidR="00A77100" w:rsidRPr="00754882">
        <w:t xml:space="preserve"> (</w:t>
      </w:r>
      <w:proofErr w:type="spellStart"/>
      <w:r w:rsidR="00A77100" w:rsidRPr="00754882">
        <w:t>Bellato</w:t>
      </w:r>
      <w:proofErr w:type="spellEnd"/>
      <w:r w:rsidR="00A77100" w:rsidRPr="00754882">
        <w:t xml:space="preserve"> et al. 2023b, pp. 13-14)</w:t>
      </w:r>
      <w:r w:rsidR="00627FE0" w:rsidRPr="00754882">
        <w:t xml:space="preserve">.  </w:t>
      </w:r>
    </w:p>
    <w:p w14:paraId="25C02158" w14:textId="40E7F08C" w:rsidR="00563102" w:rsidRPr="00754882" w:rsidRDefault="00643893" w:rsidP="00F71C9E">
      <w:pPr>
        <w:jc w:val="both"/>
      </w:pPr>
      <w:r w:rsidRPr="00754882">
        <w:t>C</w:t>
      </w:r>
      <w:r w:rsidR="00563102" w:rsidRPr="00754882">
        <w:t>ollaborati</w:t>
      </w:r>
      <w:r w:rsidR="00AA222C" w:rsidRPr="00754882">
        <w:t xml:space="preserve">on </w:t>
      </w:r>
      <w:r w:rsidR="00401996" w:rsidRPr="00754882">
        <w:t>was a key element of the</w:t>
      </w:r>
      <w:r w:rsidR="002B41F8" w:rsidRPr="00754882">
        <w:t xml:space="preserve"> </w:t>
      </w:r>
      <w:r w:rsidR="00563102" w:rsidRPr="00754882">
        <w:t>research design</w:t>
      </w:r>
      <w:r w:rsidR="00401996" w:rsidRPr="00754882">
        <w:t>.  T</w:t>
      </w:r>
      <w:r w:rsidR="00563102" w:rsidRPr="00754882">
        <w:t>rans-disciplinary</w:t>
      </w:r>
      <w:r w:rsidR="002B41F8" w:rsidRPr="00754882">
        <w:t xml:space="preserve"> in nature,</w:t>
      </w:r>
      <w:r w:rsidR="00401996" w:rsidRPr="00754882">
        <w:t xml:space="preserve"> </w:t>
      </w:r>
      <w:r w:rsidR="00C249A8" w:rsidRPr="00754882">
        <w:t>researchers</w:t>
      </w:r>
      <w:r w:rsidR="004670DE" w:rsidRPr="00754882">
        <w:t xml:space="preserve"> came</w:t>
      </w:r>
      <w:r w:rsidR="00C249A8" w:rsidRPr="00754882">
        <w:t xml:space="preserve"> from a variety of </w:t>
      </w:r>
      <w:proofErr w:type="gramStart"/>
      <w:r w:rsidR="002B41F8" w:rsidRPr="00754882">
        <w:t>disc</w:t>
      </w:r>
      <w:r w:rsidR="001D5430" w:rsidRPr="00754882">
        <w:t>iplines</w:t>
      </w:r>
      <w:r w:rsidR="00C249A8" w:rsidRPr="00754882">
        <w:t xml:space="preserve"> </w:t>
      </w:r>
      <w:r w:rsidR="004670DE" w:rsidRPr="00754882">
        <w:t xml:space="preserve"> (</w:t>
      </w:r>
      <w:proofErr w:type="gramEnd"/>
      <w:r w:rsidR="00922B21" w:rsidRPr="00754882">
        <w:t>c</w:t>
      </w:r>
      <w:r w:rsidR="00C249A8" w:rsidRPr="00754882">
        <w:t>reative writing, education, health sciences, tourism and events</w:t>
      </w:r>
      <w:r w:rsidR="004670DE" w:rsidRPr="00754882">
        <w:t xml:space="preserve">) </w:t>
      </w:r>
      <w:r w:rsidR="001D5430" w:rsidRPr="00754882">
        <w:t>and</w:t>
      </w:r>
      <w:r w:rsidR="00B41530" w:rsidRPr="00754882">
        <w:t xml:space="preserve"> </w:t>
      </w:r>
      <w:r w:rsidR="00A819F4" w:rsidRPr="00754882">
        <w:t>consulted</w:t>
      </w:r>
      <w:r w:rsidR="004670DE" w:rsidRPr="00754882">
        <w:t xml:space="preserve"> with</w:t>
      </w:r>
      <w:r w:rsidR="00A819F4" w:rsidRPr="00754882">
        <w:t xml:space="preserve"> </w:t>
      </w:r>
      <w:r w:rsidR="00B41530" w:rsidRPr="00754882">
        <w:t xml:space="preserve">local cultural organisations, </w:t>
      </w:r>
      <w:r w:rsidR="001D5430" w:rsidRPr="00754882">
        <w:t xml:space="preserve">a </w:t>
      </w:r>
      <w:r w:rsidR="00922B21" w:rsidRPr="00754882">
        <w:t>festiv</w:t>
      </w:r>
      <w:r w:rsidR="00E52AC6" w:rsidRPr="00754882">
        <w:t xml:space="preserve">al organiser </w:t>
      </w:r>
      <w:r w:rsidR="00B41530" w:rsidRPr="00754882">
        <w:t>and Bridgend Local Authority</w:t>
      </w:r>
      <w:r w:rsidR="0017037C" w:rsidRPr="00754882">
        <w:t xml:space="preserve">.  </w:t>
      </w:r>
      <w:r w:rsidR="00993CC0" w:rsidRPr="00754882">
        <w:t>Each element of the research</w:t>
      </w:r>
      <w:r w:rsidRPr="00754882">
        <w:t xml:space="preserve"> process to date</w:t>
      </w:r>
      <w:r w:rsidR="00993CC0" w:rsidRPr="00754882">
        <w:t xml:space="preserve"> is detailed </w:t>
      </w:r>
      <w:r w:rsidR="009B635D" w:rsidRPr="00754882">
        <w:t>in Table 1:</w:t>
      </w: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972"/>
        <w:gridCol w:w="5954"/>
      </w:tblGrid>
      <w:tr w:rsidR="009F1160" w:rsidRPr="00754882" w14:paraId="1B7D9BC4" w14:textId="77777777" w:rsidTr="009F1160">
        <w:tc>
          <w:tcPr>
            <w:tcW w:w="2972" w:type="dxa"/>
          </w:tcPr>
          <w:p w14:paraId="566CB3D9" w14:textId="6290C94C" w:rsidR="009F1160" w:rsidRPr="00754882" w:rsidRDefault="009F1160" w:rsidP="00F71C9E">
            <w:pPr>
              <w:jc w:val="both"/>
              <w:rPr>
                <w:b/>
                <w:bCs/>
              </w:rPr>
            </w:pPr>
            <w:r w:rsidRPr="00754882">
              <w:rPr>
                <w:b/>
                <w:bCs/>
              </w:rPr>
              <w:t xml:space="preserve">Research </w:t>
            </w:r>
            <w:r w:rsidR="0069226E" w:rsidRPr="00754882">
              <w:rPr>
                <w:b/>
                <w:bCs/>
              </w:rPr>
              <w:t>method</w:t>
            </w:r>
          </w:p>
        </w:tc>
        <w:tc>
          <w:tcPr>
            <w:tcW w:w="5954" w:type="dxa"/>
          </w:tcPr>
          <w:p w14:paraId="233C63BA" w14:textId="352447D0" w:rsidR="009F1160" w:rsidRPr="00754882" w:rsidRDefault="009F1160" w:rsidP="00F71C9E">
            <w:pPr>
              <w:jc w:val="both"/>
              <w:rPr>
                <w:b/>
                <w:bCs/>
              </w:rPr>
            </w:pPr>
            <w:r w:rsidRPr="00754882">
              <w:rPr>
                <w:b/>
                <w:bCs/>
              </w:rPr>
              <w:t>Details</w:t>
            </w:r>
          </w:p>
        </w:tc>
      </w:tr>
      <w:tr w:rsidR="009F1160" w:rsidRPr="00754882" w14:paraId="11953208" w14:textId="77777777" w:rsidTr="009F1160">
        <w:tc>
          <w:tcPr>
            <w:tcW w:w="2972" w:type="dxa"/>
          </w:tcPr>
          <w:p w14:paraId="3CCD72B0" w14:textId="68C57C37" w:rsidR="009F1160" w:rsidRPr="00754882" w:rsidRDefault="009F1160" w:rsidP="00F71C9E">
            <w:pPr>
              <w:jc w:val="both"/>
            </w:pPr>
            <w:r w:rsidRPr="00754882">
              <w:t>Desk based, secondary research</w:t>
            </w:r>
          </w:p>
        </w:tc>
        <w:tc>
          <w:tcPr>
            <w:tcW w:w="5954" w:type="dxa"/>
          </w:tcPr>
          <w:p w14:paraId="30B5A487" w14:textId="5E538433" w:rsidR="009F1160" w:rsidRPr="00754882" w:rsidRDefault="009F1160" w:rsidP="002D580A">
            <w:pPr>
              <w:jc w:val="both"/>
            </w:pPr>
            <w:r w:rsidRPr="00754882">
              <w:t>MSc Tourism and Hospitality students were given a list of categories</w:t>
            </w:r>
            <w:r w:rsidRPr="00754882">
              <w:rPr>
                <w:color w:val="FF0000"/>
              </w:rPr>
              <w:t xml:space="preserve"> </w:t>
            </w:r>
            <w:r w:rsidRPr="00754882">
              <w:t>and asked to search the internet for places within the county within each category, with a focus sustainable practices</w:t>
            </w:r>
            <w:r w:rsidR="00AF782C" w:rsidRPr="00754882">
              <w:t xml:space="preserve"> and locally source</w:t>
            </w:r>
            <w:r w:rsidR="003264C6" w:rsidRPr="00754882">
              <w:t>d</w:t>
            </w:r>
            <w:r w:rsidR="00AF782C" w:rsidRPr="00754882">
              <w:t xml:space="preserve"> products</w:t>
            </w:r>
            <w:r w:rsidRPr="00754882">
              <w:t xml:space="preserve">.  These will be used </w:t>
            </w:r>
            <w:r w:rsidR="004670DE" w:rsidRPr="00754882">
              <w:t>to</w:t>
            </w:r>
            <w:r w:rsidRPr="00754882">
              <w:t xml:space="preserve"> develop</w:t>
            </w:r>
            <w:r w:rsidR="003264C6" w:rsidRPr="00754882">
              <w:t xml:space="preserve"> </w:t>
            </w:r>
            <w:r w:rsidRPr="00754882">
              <w:t>a set of trails</w:t>
            </w:r>
            <w:r w:rsidR="00C90F23" w:rsidRPr="00754882">
              <w:t>.</w:t>
            </w:r>
          </w:p>
        </w:tc>
      </w:tr>
      <w:tr w:rsidR="009F1160" w:rsidRPr="00754882" w14:paraId="7BD43838" w14:textId="77777777" w:rsidTr="009F1160">
        <w:tc>
          <w:tcPr>
            <w:tcW w:w="2972" w:type="dxa"/>
          </w:tcPr>
          <w:p w14:paraId="23AD0884" w14:textId="48392030" w:rsidR="009F1160" w:rsidRPr="00754882" w:rsidRDefault="009F1160" w:rsidP="00F71C9E">
            <w:pPr>
              <w:jc w:val="both"/>
            </w:pPr>
            <w:r w:rsidRPr="00754882">
              <w:t xml:space="preserve">Primary research </w:t>
            </w:r>
          </w:p>
        </w:tc>
        <w:tc>
          <w:tcPr>
            <w:tcW w:w="5954" w:type="dxa"/>
          </w:tcPr>
          <w:p w14:paraId="402C7EDA" w14:textId="1E6B45BB" w:rsidR="009F1160" w:rsidRPr="00754882" w:rsidRDefault="009F1160" w:rsidP="00F71C9E">
            <w:pPr>
              <w:jc w:val="both"/>
            </w:pPr>
            <w:r w:rsidRPr="00754882">
              <w:t>‘Story-mapping’ in a local festival:</w:t>
            </w:r>
            <w:r w:rsidR="004670DE" w:rsidRPr="00754882">
              <w:t xml:space="preserve"> a</w:t>
            </w:r>
            <w:r w:rsidRPr="00754882">
              <w:t xml:space="preserve">reas of interest highlighted by participants were pinpointed on a map and will be used </w:t>
            </w:r>
            <w:r w:rsidR="004670DE" w:rsidRPr="00754882">
              <w:t>to</w:t>
            </w:r>
            <w:r w:rsidR="008E316C" w:rsidRPr="00754882">
              <w:t xml:space="preserve"> </w:t>
            </w:r>
            <w:r w:rsidRPr="00754882">
              <w:t>design trails</w:t>
            </w:r>
            <w:r w:rsidR="00C90F23" w:rsidRPr="00754882">
              <w:t>.</w:t>
            </w:r>
            <w:r w:rsidRPr="00754882">
              <w:t xml:space="preserve"> </w:t>
            </w:r>
          </w:p>
        </w:tc>
      </w:tr>
      <w:tr w:rsidR="009F1160" w:rsidRPr="00754882" w14:paraId="254FAA4D" w14:textId="77777777" w:rsidTr="009F1160">
        <w:tc>
          <w:tcPr>
            <w:tcW w:w="2972" w:type="dxa"/>
          </w:tcPr>
          <w:p w14:paraId="177DC6F7" w14:textId="7CD87AE4" w:rsidR="009F1160" w:rsidRPr="00754882" w:rsidRDefault="009F1160" w:rsidP="00F71C9E">
            <w:pPr>
              <w:jc w:val="both"/>
            </w:pPr>
            <w:r w:rsidRPr="00754882">
              <w:t>Primary research</w:t>
            </w:r>
          </w:p>
        </w:tc>
        <w:tc>
          <w:tcPr>
            <w:tcW w:w="5954" w:type="dxa"/>
          </w:tcPr>
          <w:p w14:paraId="24E98252" w14:textId="145ECF5C" w:rsidR="009F1160" w:rsidRPr="00754882" w:rsidRDefault="009D41B0" w:rsidP="00F71C9E">
            <w:pPr>
              <w:jc w:val="both"/>
            </w:pPr>
            <w:r w:rsidRPr="00754882">
              <w:t>Post-festival</w:t>
            </w:r>
            <w:r w:rsidR="009F1160" w:rsidRPr="00754882">
              <w:t xml:space="preserve"> interviews with festival attendees and stakeholders.</w:t>
            </w:r>
          </w:p>
          <w:p w14:paraId="4F46A6B4" w14:textId="4F2F4B19" w:rsidR="009F1160" w:rsidRPr="00754882" w:rsidRDefault="009F1160" w:rsidP="00F71C9E">
            <w:pPr>
              <w:jc w:val="both"/>
            </w:pPr>
            <w:r w:rsidRPr="00754882">
              <w:t xml:space="preserve">Areas of interest </w:t>
            </w:r>
            <w:r w:rsidR="004670DE" w:rsidRPr="00754882">
              <w:t>identified</w:t>
            </w:r>
            <w:r w:rsidRPr="00754882">
              <w:t xml:space="preserve"> by interviewees will be grouped in themes and </w:t>
            </w:r>
            <w:r w:rsidR="008E316C" w:rsidRPr="00754882">
              <w:t>used to design trails</w:t>
            </w:r>
            <w:r w:rsidRPr="00754882">
              <w:t xml:space="preserve">.  </w:t>
            </w:r>
          </w:p>
        </w:tc>
      </w:tr>
      <w:tr w:rsidR="009F1160" w:rsidRPr="00754882" w14:paraId="7E1F1D61" w14:textId="77777777" w:rsidTr="009F1160">
        <w:tc>
          <w:tcPr>
            <w:tcW w:w="2972" w:type="dxa"/>
          </w:tcPr>
          <w:p w14:paraId="7C4521B0" w14:textId="7E5D4B4A" w:rsidR="009F1160" w:rsidRPr="00754882" w:rsidRDefault="009F1160" w:rsidP="00F71C9E">
            <w:pPr>
              <w:jc w:val="both"/>
            </w:pPr>
            <w:r w:rsidRPr="00754882">
              <w:t>Primary research</w:t>
            </w:r>
          </w:p>
        </w:tc>
        <w:tc>
          <w:tcPr>
            <w:tcW w:w="5954" w:type="dxa"/>
          </w:tcPr>
          <w:p w14:paraId="032A555A" w14:textId="3D70A6B2" w:rsidR="009F1160" w:rsidRPr="00754882" w:rsidRDefault="009F1160" w:rsidP="00F71C9E">
            <w:pPr>
              <w:jc w:val="both"/>
            </w:pPr>
            <w:r w:rsidRPr="00754882">
              <w:t xml:space="preserve">Creative writing workshops with </w:t>
            </w:r>
            <w:r w:rsidR="004670DE" w:rsidRPr="00754882">
              <w:t xml:space="preserve">local primary and </w:t>
            </w:r>
            <w:r w:rsidRPr="00754882">
              <w:t>secondary school children</w:t>
            </w:r>
            <w:r w:rsidR="008E316C" w:rsidRPr="00754882">
              <w:t xml:space="preserve">.  Places highlighted by </w:t>
            </w:r>
            <w:r w:rsidR="004670DE" w:rsidRPr="00754882">
              <w:t>pupils</w:t>
            </w:r>
            <w:r w:rsidR="008E316C" w:rsidRPr="00754882">
              <w:t xml:space="preserve"> will be used to design trails</w:t>
            </w:r>
            <w:r w:rsidR="00C90F23" w:rsidRPr="00754882">
              <w:t>.</w:t>
            </w:r>
          </w:p>
        </w:tc>
      </w:tr>
    </w:tbl>
    <w:p w14:paraId="3CCD77DE" w14:textId="7D1AF645" w:rsidR="00FD6877" w:rsidRPr="00754882" w:rsidRDefault="0069226E" w:rsidP="00F71C9E">
      <w:pPr>
        <w:jc w:val="both"/>
        <w:rPr>
          <w:b/>
          <w:bCs/>
        </w:rPr>
      </w:pPr>
      <w:r w:rsidRPr="00754882">
        <w:rPr>
          <w:b/>
          <w:bCs/>
        </w:rPr>
        <w:t>Table 1:  The research methods</w:t>
      </w:r>
    </w:p>
    <w:p w14:paraId="0624046C" w14:textId="0DE9C473" w:rsidR="00483BB9" w:rsidRPr="00754882" w:rsidRDefault="009A65CE" w:rsidP="00E40B2B">
      <w:pPr>
        <w:rPr>
          <w:b/>
          <w:bCs/>
        </w:rPr>
      </w:pPr>
      <w:r w:rsidRPr="00754882">
        <w:rPr>
          <w:b/>
          <w:bCs/>
        </w:rPr>
        <w:t>Discussion of r</w:t>
      </w:r>
      <w:r w:rsidR="00290711" w:rsidRPr="00754882">
        <w:rPr>
          <w:b/>
          <w:bCs/>
        </w:rPr>
        <w:t>esults</w:t>
      </w:r>
    </w:p>
    <w:p w14:paraId="7EAACC30" w14:textId="407B176F" w:rsidR="00C94B8F" w:rsidRPr="00754882" w:rsidRDefault="00C94B8F" w:rsidP="00A644DC">
      <w:pPr>
        <w:jc w:val="both"/>
      </w:pPr>
      <w:r w:rsidRPr="00754882">
        <w:t xml:space="preserve">The </w:t>
      </w:r>
      <w:r w:rsidR="00EC6935" w:rsidRPr="00754882">
        <w:rPr>
          <w:b/>
          <w:bCs/>
        </w:rPr>
        <w:t>desk-based secondary</w:t>
      </w:r>
      <w:r w:rsidRPr="00754882">
        <w:rPr>
          <w:b/>
          <w:bCs/>
        </w:rPr>
        <w:t xml:space="preserve"> data</w:t>
      </w:r>
      <w:r w:rsidRPr="00754882">
        <w:t xml:space="preserve"> </w:t>
      </w:r>
      <w:r w:rsidR="003A0A00" w:rsidRPr="00754882">
        <w:t>returned the following numbers of places per category: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59"/>
        <w:gridCol w:w="657"/>
      </w:tblGrid>
      <w:tr w:rsidR="00F31630" w:rsidRPr="00754882" w14:paraId="38BD1A21" w14:textId="77777777" w:rsidTr="00EC6935">
        <w:tc>
          <w:tcPr>
            <w:tcW w:w="8359" w:type="dxa"/>
          </w:tcPr>
          <w:p w14:paraId="7C04E8BE" w14:textId="5BEB98D0" w:rsidR="00F31630" w:rsidRPr="00754882" w:rsidRDefault="003B24C9" w:rsidP="00A644DC">
            <w:pPr>
              <w:jc w:val="both"/>
            </w:pPr>
            <w:r w:rsidRPr="00754882">
              <w:t>Accommodation</w:t>
            </w:r>
            <w:r w:rsidR="00116EFE" w:rsidRPr="00754882">
              <w:t xml:space="preserve"> </w:t>
            </w:r>
          </w:p>
        </w:tc>
        <w:tc>
          <w:tcPr>
            <w:tcW w:w="657" w:type="dxa"/>
          </w:tcPr>
          <w:p w14:paraId="6361C485" w14:textId="77BE02A9" w:rsidR="00F31630" w:rsidRPr="00754882" w:rsidRDefault="00797F39" w:rsidP="00A644DC">
            <w:pPr>
              <w:jc w:val="both"/>
            </w:pPr>
            <w:r w:rsidRPr="00754882">
              <w:t>48</w:t>
            </w:r>
          </w:p>
        </w:tc>
      </w:tr>
      <w:tr w:rsidR="00F31630" w:rsidRPr="00754882" w14:paraId="7312B97C" w14:textId="77777777" w:rsidTr="00EC6935">
        <w:tc>
          <w:tcPr>
            <w:tcW w:w="8359" w:type="dxa"/>
          </w:tcPr>
          <w:p w14:paraId="49A02879" w14:textId="670F3721" w:rsidR="00F31630" w:rsidRPr="00754882" w:rsidRDefault="005B6231" w:rsidP="00A644DC">
            <w:pPr>
              <w:jc w:val="both"/>
            </w:pPr>
            <w:r w:rsidRPr="00754882">
              <w:t>Cultural heritage</w:t>
            </w:r>
          </w:p>
        </w:tc>
        <w:tc>
          <w:tcPr>
            <w:tcW w:w="657" w:type="dxa"/>
          </w:tcPr>
          <w:p w14:paraId="203D848C" w14:textId="497FA911" w:rsidR="00F31630" w:rsidRPr="00754882" w:rsidRDefault="005B6231" w:rsidP="00A644DC">
            <w:pPr>
              <w:jc w:val="both"/>
            </w:pPr>
            <w:r w:rsidRPr="00754882">
              <w:t>16</w:t>
            </w:r>
          </w:p>
        </w:tc>
      </w:tr>
      <w:tr w:rsidR="00F31630" w:rsidRPr="00754882" w14:paraId="745F45CD" w14:textId="77777777" w:rsidTr="00EC6935">
        <w:tc>
          <w:tcPr>
            <w:tcW w:w="8359" w:type="dxa"/>
          </w:tcPr>
          <w:p w14:paraId="3062C6F4" w14:textId="267C8FFC" w:rsidR="00F31630" w:rsidRPr="00754882" w:rsidRDefault="00DC0CF5" w:rsidP="00A644DC">
            <w:pPr>
              <w:jc w:val="both"/>
            </w:pPr>
            <w:r w:rsidRPr="00754882">
              <w:t>Food and drink</w:t>
            </w:r>
          </w:p>
        </w:tc>
        <w:tc>
          <w:tcPr>
            <w:tcW w:w="657" w:type="dxa"/>
          </w:tcPr>
          <w:p w14:paraId="587750B0" w14:textId="13E68FD4" w:rsidR="00F31630" w:rsidRPr="00754882" w:rsidRDefault="00DC0CF5" w:rsidP="00A644DC">
            <w:pPr>
              <w:jc w:val="both"/>
            </w:pPr>
            <w:r w:rsidRPr="00754882">
              <w:t>69</w:t>
            </w:r>
          </w:p>
        </w:tc>
      </w:tr>
      <w:tr w:rsidR="00F31630" w:rsidRPr="00754882" w14:paraId="01E8699D" w14:textId="77777777" w:rsidTr="00EC6935">
        <w:tc>
          <w:tcPr>
            <w:tcW w:w="8359" w:type="dxa"/>
          </w:tcPr>
          <w:p w14:paraId="0605CFD3" w14:textId="4FAAAD75" w:rsidR="00F31630" w:rsidRPr="00754882" w:rsidRDefault="008A4B27" w:rsidP="00A644DC">
            <w:pPr>
              <w:jc w:val="both"/>
            </w:pPr>
            <w:r w:rsidRPr="00754882">
              <w:lastRenderedPageBreak/>
              <w:t>Community events and festivals</w:t>
            </w:r>
          </w:p>
        </w:tc>
        <w:tc>
          <w:tcPr>
            <w:tcW w:w="657" w:type="dxa"/>
          </w:tcPr>
          <w:p w14:paraId="280278FE" w14:textId="19C94C60" w:rsidR="00F31630" w:rsidRPr="00754882" w:rsidRDefault="008A4B27" w:rsidP="00A644DC">
            <w:pPr>
              <w:jc w:val="both"/>
            </w:pPr>
            <w:r w:rsidRPr="00754882">
              <w:t>22</w:t>
            </w:r>
          </w:p>
        </w:tc>
      </w:tr>
      <w:tr w:rsidR="00F31630" w:rsidRPr="00754882" w14:paraId="68CB12DD" w14:textId="77777777" w:rsidTr="00EC6935">
        <w:tc>
          <w:tcPr>
            <w:tcW w:w="8359" w:type="dxa"/>
          </w:tcPr>
          <w:p w14:paraId="4C286E7F" w14:textId="2ACEE0B0" w:rsidR="00F31630" w:rsidRPr="00754882" w:rsidRDefault="00EE4B79" w:rsidP="00A644DC">
            <w:pPr>
              <w:jc w:val="both"/>
            </w:pPr>
            <w:r w:rsidRPr="00754882">
              <w:t>Outdoor activities</w:t>
            </w:r>
          </w:p>
        </w:tc>
        <w:tc>
          <w:tcPr>
            <w:tcW w:w="657" w:type="dxa"/>
          </w:tcPr>
          <w:p w14:paraId="4623DC66" w14:textId="32D67C38" w:rsidR="00F31630" w:rsidRPr="00754882" w:rsidRDefault="00EE4B79" w:rsidP="00A644DC">
            <w:pPr>
              <w:jc w:val="both"/>
            </w:pPr>
            <w:r w:rsidRPr="00754882">
              <w:t>2</w:t>
            </w:r>
            <w:r w:rsidR="0039121C" w:rsidRPr="00754882">
              <w:t>5</w:t>
            </w:r>
          </w:p>
        </w:tc>
      </w:tr>
      <w:tr w:rsidR="00F31630" w:rsidRPr="00754882" w14:paraId="375308D2" w14:textId="77777777" w:rsidTr="00EC6935">
        <w:tc>
          <w:tcPr>
            <w:tcW w:w="8359" w:type="dxa"/>
          </w:tcPr>
          <w:p w14:paraId="519F9202" w14:textId="42D17E7A" w:rsidR="00F31630" w:rsidRPr="00754882" w:rsidRDefault="0039121C" w:rsidP="00A644DC">
            <w:pPr>
              <w:jc w:val="both"/>
            </w:pPr>
            <w:r w:rsidRPr="00754882">
              <w:t>Arts and crafts</w:t>
            </w:r>
          </w:p>
        </w:tc>
        <w:tc>
          <w:tcPr>
            <w:tcW w:w="657" w:type="dxa"/>
          </w:tcPr>
          <w:p w14:paraId="71B13BE1" w14:textId="554EA603" w:rsidR="00F31630" w:rsidRPr="00754882" w:rsidRDefault="00F9680B" w:rsidP="00A644DC">
            <w:pPr>
              <w:jc w:val="both"/>
            </w:pPr>
            <w:r w:rsidRPr="00754882">
              <w:t>32</w:t>
            </w:r>
          </w:p>
        </w:tc>
      </w:tr>
    </w:tbl>
    <w:p w14:paraId="533023C9" w14:textId="5443B5FA" w:rsidR="003A0A00" w:rsidRPr="00754882" w:rsidRDefault="00DD5334" w:rsidP="00A644DC">
      <w:pPr>
        <w:jc w:val="both"/>
        <w:rPr>
          <w:b/>
          <w:bCs/>
        </w:rPr>
      </w:pPr>
      <w:r w:rsidRPr="00754882">
        <w:rPr>
          <w:b/>
          <w:bCs/>
        </w:rPr>
        <w:t>Table 2:  Secondary data summary</w:t>
      </w:r>
    </w:p>
    <w:p w14:paraId="7A7904B0" w14:textId="4A57C116" w:rsidR="00290711" w:rsidRPr="00754882" w:rsidRDefault="00290711" w:rsidP="00A644DC">
      <w:pPr>
        <w:jc w:val="both"/>
      </w:pPr>
      <w:r w:rsidRPr="00754882">
        <w:t xml:space="preserve">The </w:t>
      </w:r>
      <w:r w:rsidRPr="00754882">
        <w:rPr>
          <w:b/>
          <w:bCs/>
        </w:rPr>
        <w:t>festival story-mapping</w:t>
      </w:r>
      <w:r w:rsidRPr="00754882">
        <w:t xml:space="preserve"> exercise proved very effective in highlighting</w:t>
      </w:r>
      <w:r w:rsidR="00391C8B" w:rsidRPr="00754882">
        <w:t xml:space="preserve"> various places that local stakeholders felt were important to them</w:t>
      </w:r>
      <w:r w:rsidR="0069340D" w:rsidRPr="00754882">
        <w:t xml:space="preserve">.  The festival space was somewhat conducive to the collection of stories </w:t>
      </w:r>
      <w:r w:rsidR="008E7B83" w:rsidRPr="00754882">
        <w:t xml:space="preserve">but also presented some challenges </w:t>
      </w:r>
      <w:r w:rsidR="0069340D" w:rsidRPr="00754882">
        <w:t>(for a more detailed critique of this method see Davies et al. (2024)</w:t>
      </w:r>
      <w:r w:rsidR="00C94B8F" w:rsidRPr="00754882">
        <w:t>.</w:t>
      </w:r>
    </w:p>
    <w:p w14:paraId="46C76294" w14:textId="09833953" w:rsidR="00F4685A" w:rsidRPr="00754882" w:rsidRDefault="004670DE" w:rsidP="008567EB">
      <w:pPr>
        <w:jc w:val="both"/>
      </w:pPr>
      <w:r w:rsidRPr="00754882">
        <w:rPr>
          <w:b/>
          <w:bCs/>
        </w:rPr>
        <w:t>P</w:t>
      </w:r>
      <w:r w:rsidR="00E761A2" w:rsidRPr="00754882">
        <w:rPr>
          <w:b/>
          <w:bCs/>
        </w:rPr>
        <w:t>ost-festival interviews</w:t>
      </w:r>
      <w:r w:rsidR="00E761A2" w:rsidRPr="00754882">
        <w:t xml:space="preserve"> allowed for further elaboration on stories</w:t>
      </w:r>
      <w:r w:rsidR="00EF18A0" w:rsidRPr="00754882">
        <w:t xml:space="preserve">, folk </w:t>
      </w:r>
      <w:proofErr w:type="gramStart"/>
      <w:r w:rsidR="00EF18A0" w:rsidRPr="00754882">
        <w:t>tales</w:t>
      </w:r>
      <w:proofErr w:type="gramEnd"/>
      <w:r w:rsidR="00E761A2" w:rsidRPr="00754882">
        <w:t xml:space="preserve"> and places of interest from people that were either present at the festival or recommend</w:t>
      </w:r>
      <w:r w:rsidR="00B8300F" w:rsidRPr="00754882">
        <w:t xml:space="preserve">ed by people at the festival.  </w:t>
      </w:r>
      <w:r w:rsidR="009D41B0" w:rsidRPr="00754882">
        <w:t>S</w:t>
      </w:r>
      <w:r w:rsidR="009078DD" w:rsidRPr="00754882">
        <w:t xml:space="preserve">elected quotes </w:t>
      </w:r>
      <w:r w:rsidR="007446C6" w:rsidRPr="00754882">
        <w:t>from the interviews</w:t>
      </w:r>
      <w:r w:rsidR="009078DD" w:rsidRPr="00754882">
        <w:t xml:space="preserve"> are as follows:</w:t>
      </w:r>
    </w:p>
    <w:p w14:paraId="10312C02" w14:textId="7781A443" w:rsidR="009078DD" w:rsidRPr="00754882" w:rsidRDefault="009078DD" w:rsidP="003C567C">
      <w:pPr>
        <w:ind w:left="720" w:right="804"/>
        <w:jc w:val="both"/>
        <w:rPr>
          <w:rStyle w:val="normaltextrun"/>
          <w:rFonts w:ascii="Calibri" w:hAnsi="Calibri" w:cs="Calibri"/>
          <w:i/>
          <w:iCs/>
          <w:color w:val="000000"/>
          <w:shd w:val="clear" w:color="auto" w:fill="FFFFFF"/>
        </w:rPr>
      </w:pPr>
      <w:r w:rsidRPr="00754882">
        <w:t>“</w:t>
      </w:r>
      <w:r w:rsidR="00C42B5D" w:rsidRPr="00754882">
        <w:rPr>
          <w:rStyle w:val="normaltextrun"/>
          <w:rFonts w:ascii="Calibri" w:hAnsi="Calibri" w:cs="Calibri"/>
          <w:i/>
          <w:iCs/>
          <w:color w:val="000000"/>
          <w:shd w:val="clear" w:color="auto" w:fill="FFFFFF"/>
        </w:rPr>
        <w:t>U</w:t>
      </w:r>
      <w:r w:rsidR="00EE0B99" w:rsidRPr="00754882">
        <w:rPr>
          <w:rStyle w:val="normaltextrun"/>
          <w:rFonts w:ascii="Calibri" w:hAnsi="Calibri" w:cs="Calibri"/>
          <w:i/>
          <w:iCs/>
          <w:color w:val="000000"/>
          <w:shd w:val="clear" w:color="auto" w:fill="FFFFFF"/>
        </w:rPr>
        <w:t xml:space="preserve">nderneath Brackla there are reputed to be a load of tunnels where the munitions were stored.  </w:t>
      </w:r>
      <w:r w:rsidR="00CF1CB1" w:rsidRPr="00754882">
        <w:rPr>
          <w:rStyle w:val="normaltextrun"/>
          <w:rFonts w:ascii="Calibri" w:hAnsi="Calibri" w:cs="Calibri"/>
          <w:i/>
          <w:iCs/>
          <w:color w:val="000000"/>
          <w:shd w:val="clear" w:color="auto" w:fill="FFFFFF"/>
        </w:rPr>
        <w:t>It's got quite a strong connection with activity during the Second World War</w:t>
      </w:r>
      <w:r w:rsidR="0025637A" w:rsidRPr="00754882">
        <w:rPr>
          <w:rStyle w:val="normaltextrun"/>
          <w:rFonts w:ascii="Calibri" w:hAnsi="Calibri" w:cs="Calibri"/>
          <w:i/>
          <w:iCs/>
          <w:color w:val="000000"/>
          <w:shd w:val="clear" w:color="auto" w:fill="FFFFFF"/>
        </w:rPr>
        <w:t>…</w:t>
      </w:r>
      <w:r w:rsidR="00B04061" w:rsidRPr="00754882">
        <w:rPr>
          <w:rStyle w:val="normaltextrun"/>
          <w:rFonts w:ascii="Calibri" w:hAnsi="Calibri" w:cs="Calibri"/>
          <w:i/>
          <w:iCs/>
          <w:color w:val="000000"/>
          <w:shd w:val="clear" w:color="auto" w:fill="FFFFFF"/>
        </w:rPr>
        <w:t>”</w:t>
      </w:r>
      <w:r w:rsidR="003C567C" w:rsidRPr="00754882">
        <w:rPr>
          <w:rStyle w:val="normaltextrun"/>
          <w:rFonts w:ascii="Calibri" w:hAnsi="Calibri" w:cs="Calibri"/>
          <w:i/>
          <w:iCs/>
          <w:color w:val="000000"/>
          <w:shd w:val="clear" w:color="auto" w:fill="FFFFFF"/>
        </w:rPr>
        <w:t xml:space="preserve"> </w:t>
      </w:r>
      <w:r w:rsidR="003C567C" w:rsidRPr="00754882">
        <w:rPr>
          <w:rStyle w:val="normaltextrun"/>
          <w:rFonts w:ascii="Calibri" w:hAnsi="Calibri" w:cs="Calibri"/>
          <w:color w:val="000000"/>
          <w:shd w:val="clear" w:color="auto" w:fill="FFFFFF"/>
        </w:rPr>
        <w:t>(Participant 1)</w:t>
      </w:r>
    </w:p>
    <w:p w14:paraId="4CB2E1B6" w14:textId="6073AE7D" w:rsidR="00B04061" w:rsidRPr="00754882" w:rsidRDefault="00B04061" w:rsidP="003C567C">
      <w:pPr>
        <w:ind w:left="720" w:right="804"/>
        <w:jc w:val="both"/>
        <w:rPr>
          <w:rStyle w:val="normaltextrun"/>
          <w:rFonts w:ascii="Calibri" w:hAnsi="Calibri" w:cs="Calibri"/>
          <w:color w:val="000000"/>
          <w:shd w:val="clear" w:color="auto" w:fill="FFFFFF"/>
        </w:rPr>
      </w:pPr>
      <w:r w:rsidRPr="00754882">
        <w:rPr>
          <w:rStyle w:val="normaltextrun"/>
          <w:rFonts w:ascii="Calibri" w:hAnsi="Calibri" w:cs="Calibri"/>
          <w:i/>
          <w:iCs/>
          <w:color w:val="000000"/>
          <w:shd w:val="clear" w:color="auto" w:fill="FFFFFF"/>
        </w:rPr>
        <w:t xml:space="preserve">“Well, people like to visit spots. You know, you look at names of places </w:t>
      </w:r>
      <w:r w:rsidR="00EF18A0" w:rsidRPr="00754882">
        <w:rPr>
          <w:rStyle w:val="normaltextrun"/>
          <w:rFonts w:ascii="Calibri" w:hAnsi="Calibri" w:cs="Calibri"/>
          <w:i/>
          <w:iCs/>
          <w:color w:val="000000"/>
          <w:shd w:val="clear" w:color="auto" w:fill="FFFFFF"/>
        </w:rPr>
        <w:t>and</w:t>
      </w:r>
      <w:r w:rsidRPr="00754882">
        <w:rPr>
          <w:rStyle w:val="normaltextrun"/>
          <w:rFonts w:ascii="Calibri" w:hAnsi="Calibri" w:cs="Calibri"/>
          <w:i/>
          <w:iCs/>
          <w:color w:val="000000"/>
          <w:shd w:val="clear" w:color="auto" w:fill="FFFFFF"/>
        </w:rPr>
        <w:t xml:space="preserve"> they've often got some conne</w:t>
      </w:r>
      <w:r w:rsidR="00EF18A0" w:rsidRPr="00754882">
        <w:rPr>
          <w:rStyle w:val="normaltextrun"/>
          <w:rFonts w:ascii="Calibri" w:hAnsi="Calibri" w:cs="Calibri"/>
          <w:i/>
          <w:iCs/>
          <w:color w:val="000000"/>
          <w:shd w:val="clear" w:color="auto" w:fill="FFFFFF"/>
        </w:rPr>
        <w:t>ct</w:t>
      </w:r>
      <w:r w:rsidRPr="00754882">
        <w:rPr>
          <w:rStyle w:val="normaltextrun"/>
          <w:rFonts w:ascii="Calibri" w:hAnsi="Calibri" w:cs="Calibri"/>
          <w:i/>
          <w:iCs/>
          <w:color w:val="000000"/>
          <w:shd w:val="clear" w:color="auto" w:fill="FFFFFF"/>
        </w:rPr>
        <w:t xml:space="preserve">ion with some sort of </w:t>
      </w:r>
      <w:r w:rsidR="00C42B5D" w:rsidRPr="00754882">
        <w:rPr>
          <w:rStyle w:val="normaltextrun"/>
          <w:rFonts w:ascii="Calibri" w:hAnsi="Calibri" w:cs="Calibri"/>
          <w:i/>
          <w:iCs/>
          <w:color w:val="000000"/>
          <w:shd w:val="clear" w:color="auto" w:fill="FFFFFF"/>
        </w:rPr>
        <w:t xml:space="preserve">… </w:t>
      </w:r>
      <w:r w:rsidRPr="00754882">
        <w:rPr>
          <w:rStyle w:val="normaltextrun"/>
          <w:rFonts w:ascii="Calibri" w:hAnsi="Calibri" w:cs="Calibri"/>
          <w:i/>
          <w:iCs/>
          <w:color w:val="000000"/>
          <w:shd w:val="clear" w:color="auto" w:fill="FFFFFF"/>
        </w:rPr>
        <w:t>historical or supernatural or</w:t>
      </w:r>
      <w:r w:rsidR="003C567C" w:rsidRPr="00754882">
        <w:rPr>
          <w:rStyle w:val="normaltextrun"/>
          <w:rFonts w:ascii="Calibri" w:hAnsi="Calibri" w:cs="Calibri"/>
          <w:i/>
          <w:iCs/>
          <w:color w:val="000000"/>
          <w:shd w:val="clear" w:color="auto" w:fill="FFFFFF"/>
        </w:rPr>
        <w:t xml:space="preserve"> </w:t>
      </w:r>
      <w:r w:rsidR="00C42B5D" w:rsidRPr="00754882">
        <w:rPr>
          <w:rStyle w:val="normaltextrun"/>
          <w:rFonts w:ascii="Calibri" w:hAnsi="Calibri" w:cs="Calibri"/>
          <w:i/>
          <w:iCs/>
          <w:color w:val="000000"/>
          <w:shd w:val="clear" w:color="auto" w:fill="FFFFFF"/>
        </w:rPr>
        <w:t>…</w:t>
      </w:r>
      <w:r w:rsidRPr="00754882">
        <w:rPr>
          <w:rStyle w:val="normaltextrun"/>
          <w:rFonts w:ascii="Calibri" w:hAnsi="Calibri" w:cs="Calibri"/>
          <w:i/>
          <w:iCs/>
          <w:color w:val="000000"/>
          <w:shd w:val="clear" w:color="auto" w:fill="FFFFFF"/>
        </w:rPr>
        <w:t xml:space="preserve"> folklore event</w:t>
      </w:r>
      <w:r w:rsidR="00EF18A0" w:rsidRPr="00754882">
        <w:rPr>
          <w:rStyle w:val="normaltextrun"/>
          <w:rFonts w:ascii="Calibri" w:hAnsi="Calibri" w:cs="Calibri"/>
          <w:color w:val="000000"/>
          <w:shd w:val="clear" w:color="auto" w:fill="FFFFFF"/>
        </w:rPr>
        <w:t>”</w:t>
      </w:r>
      <w:r w:rsidR="003C567C" w:rsidRPr="00754882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(Participant 2).</w:t>
      </w:r>
    </w:p>
    <w:p w14:paraId="59385B59" w14:textId="16F599E2" w:rsidR="00B41EF8" w:rsidRPr="00754882" w:rsidRDefault="009D41B0" w:rsidP="003C567C">
      <w:pPr>
        <w:jc w:val="both"/>
      </w:pPr>
      <w:r w:rsidRPr="00754882">
        <w:rPr>
          <w:b/>
          <w:bCs/>
        </w:rPr>
        <w:t xml:space="preserve">Creative writing </w:t>
      </w:r>
      <w:r w:rsidR="00B41EF8" w:rsidRPr="00754882">
        <w:rPr>
          <w:b/>
          <w:bCs/>
        </w:rPr>
        <w:t>workshops</w:t>
      </w:r>
      <w:r w:rsidR="00B41EF8" w:rsidRPr="00754882">
        <w:t xml:space="preserve"> within </w:t>
      </w:r>
      <w:r w:rsidRPr="00754882">
        <w:t xml:space="preserve">local </w:t>
      </w:r>
      <w:r w:rsidR="00B41EF8" w:rsidRPr="00754882">
        <w:t xml:space="preserve">schools allowed </w:t>
      </w:r>
      <w:proofErr w:type="gramStart"/>
      <w:r w:rsidRPr="00754882">
        <w:t>children</w:t>
      </w:r>
      <w:r w:rsidR="00B41EF8" w:rsidRPr="00754882">
        <w:t xml:space="preserve">  to</w:t>
      </w:r>
      <w:proofErr w:type="gramEnd"/>
      <w:r w:rsidR="00B41EF8" w:rsidRPr="00754882">
        <w:t xml:space="preserve"> </w:t>
      </w:r>
      <w:r w:rsidRPr="00754882">
        <w:t>identify</w:t>
      </w:r>
      <w:r w:rsidR="006B7AAD" w:rsidRPr="00754882">
        <w:t xml:space="preserve"> </w:t>
      </w:r>
      <w:r w:rsidR="00B41EF8" w:rsidRPr="00754882">
        <w:t>areas they felt were most important to them</w:t>
      </w:r>
      <w:r w:rsidRPr="00754882">
        <w:t>, such as</w:t>
      </w:r>
      <w:r w:rsidR="006B7AAD" w:rsidRPr="00754882">
        <w:t xml:space="preserve">: </w:t>
      </w:r>
      <w:proofErr w:type="spellStart"/>
      <w:r w:rsidR="004A359B" w:rsidRPr="00754882">
        <w:t>Ogmore</w:t>
      </w:r>
      <w:proofErr w:type="spellEnd"/>
      <w:r w:rsidR="004A359B" w:rsidRPr="00754882">
        <w:t xml:space="preserve"> River, </w:t>
      </w:r>
      <w:r w:rsidR="00B82AFF" w:rsidRPr="00754882">
        <w:t>Rest Bay, Bridgend Town Centre,</w:t>
      </w:r>
      <w:r w:rsidR="001F77EB" w:rsidRPr="00754882">
        <w:t xml:space="preserve"> Newbridge Fields, </w:t>
      </w:r>
      <w:proofErr w:type="spellStart"/>
      <w:r w:rsidR="008726E9" w:rsidRPr="00754882">
        <w:t>Bryngarw</w:t>
      </w:r>
      <w:proofErr w:type="spellEnd"/>
      <w:r w:rsidR="008726E9" w:rsidRPr="00754882">
        <w:t>, Mer</w:t>
      </w:r>
      <w:r w:rsidR="00F859A7" w:rsidRPr="00754882">
        <w:t>thyr Mawr</w:t>
      </w:r>
      <w:r w:rsidR="00BC746E" w:rsidRPr="00754882">
        <w:t xml:space="preserve">, </w:t>
      </w:r>
      <w:proofErr w:type="spellStart"/>
      <w:r w:rsidR="00BC746E" w:rsidRPr="00754882">
        <w:t>Bwlch</w:t>
      </w:r>
      <w:proofErr w:type="spellEnd"/>
      <w:r w:rsidR="00BC746E" w:rsidRPr="00754882">
        <w:t xml:space="preserve"> Mountain</w:t>
      </w:r>
      <w:r w:rsidR="002472ED" w:rsidRPr="00754882">
        <w:t xml:space="preserve">, </w:t>
      </w:r>
      <w:r w:rsidRPr="00754882">
        <w:t xml:space="preserve">and </w:t>
      </w:r>
      <w:proofErr w:type="spellStart"/>
      <w:r w:rsidR="002472ED" w:rsidRPr="00754882">
        <w:t>Coety</w:t>
      </w:r>
      <w:proofErr w:type="spellEnd"/>
      <w:r w:rsidR="002472ED" w:rsidRPr="00754882">
        <w:t xml:space="preserve"> Castle</w:t>
      </w:r>
      <w:r w:rsidR="006B7AAD" w:rsidRPr="00754882">
        <w:t xml:space="preserve">.  </w:t>
      </w:r>
    </w:p>
    <w:p w14:paraId="57BFFB59" w14:textId="645AED91" w:rsidR="00192FDB" w:rsidRPr="00754882" w:rsidRDefault="00192FDB" w:rsidP="006B7AAD">
      <w:pPr>
        <w:jc w:val="both"/>
      </w:pPr>
      <w:r w:rsidRPr="00754882">
        <w:t xml:space="preserve">A fundamental element of the project is </w:t>
      </w:r>
      <w:r w:rsidR="006B7AAD" w:rsidRPr="00754882">
        <w:t>the use of</w:t>
      </w:r>
      <w:r w:rsidRPr="00754882">
        <w:t xml:space="preserve"> ‘mapping’ techniques to highlight areas of interest, to develop a set of trails based upon locals’ stories and recommendations.  </w:t>
      </w:r>
      <w:r w:rsidR="006B7AAD" w:rsidRPr="00754882">
        <w:t xml:space="preserve">Mapping visualisation is a way of ‘fixing’ stories geographically, which mirrors the way that stories can directly strengthen a sense of place rather than exist as free-floating textual narratives.  </w:t>
      </w:r>
      <w:r w:rsidRPr="00754882">
        <w:t xml:space="preserve">One of the main aims of regenerative tourism is the ‘anchoring of tourism value’ (Becken &amp; Kaur 2022) </w:t>
      </w:r>
      <w:r w:rsidR="006B7AAD" w:rsidRPr="00754882">
        <w:t>which can be achieved through this kind of mapping technique.  The eventual use of the ‘Geo</w:t>
      </w:r>
      <w:r w:rsidR="00C97919" w:rsidRPr="00754882">
        <w:t xml:space="preserve"> Tourist’ App</w:t>
      </w:r>
      <w:r w:rsidR="00A760AC" w:rsidRPr="00754882">
        <w:t xml:space="preserve"> along with the trails</w:t>
      </w:r>
      <w:r w:rsidR="00E74DEB" w:rsidRPr="00754882">
        <w:t xml:space="preserve"> </w:t>
      </w:r>
      <w:r w:rsidR="00C97919" w:rsidRPr="00754882">
        <w:t>will allow for recordings to be made by locals of the places they feel are most important to them</w:t>
      </w:r>
      <w:r w:rsidR="00763D58" w:rsidRPr="00754882">
        <w:t xml:space="preserve"> </w:t>
      </w:r>
      <w:proofErr w:type="gramStart"/>
      <w:r w:rsidR="00763D58" w:rsidRPr="00754882">
        <w:t>in order to</w:t>
      </w:r>
      <w:proofErr w:type="gramEnd"/>
      <w:r w:rsidR="00763D58" w:rsidRPr="00754882">
        <w:t xml:space="preserve"> develop </w:t>
      </w:r>
      <w:r w:rsidR="009D41B0" w:rsidRPr="00754882">
        <w:t xml:space="preserve">tourism </w:t>
      </w:r>
      <w:r w:rsidR="00A40847" w:rsidRPr="00754882">
        <w:t>from the grassroots up</w:t>
      </w:r>
      <w:r w:rsidR="00C97919" w:rsidRPr="00754882">
        <w:t>.</w:t>
      </w:r>
    </w:p>
    <w:p w14:paraId="1E5AEF06" w14:textId="732920D9" w:rsidR="009A65CE" w:rsidRPr="00754882" w:rsidRDefault="009A65CE" w:rsidP="00E40B2B">
      <w:pPr>
        <w:rPr>
          <w:b/>
          <w:bCs/>
        </w:rPr>
      </w:pPr>
      <w:r w:rsidRPr="00754882">
        <w:rPr>
          <w:b/>
          <w:bCs/>
        </w:rPr>
        <w:t xml:space="preserve">Conclusions </w:t>
      </w:r>
    </w:p>
    <w:p w14:paraId="7BA371E8" w14:textId="220D8020" w:rsidR="00796F5B" w:rsidRPr="00754882" w:rsidRDefault="00EF2CB8" w:rsidP="00BB20F6">
      <w:pPr>
        <w:jc w:val="both"/>
        <w:rPr>
          <w:b/>
          <w:bCs/>
        </w:rPr>
      </w:pPr>
      <w:r w:rsidRPr="00754882">
        <w:t>Regenerative tourism action research can be unwieldy</w:t>
      </w:r>
      <w:r w:rsidR="00643893" w:rsidRPr="00754882">
        <w:t xml:space="preserve"> and complex (</w:t>
      </w:r>
      <w:proofErr w:type="spellStart"/>
      <w:r w:rsidR="00C169C4" w:rsidRPr="00754882">
        <w:t>Farsari</w:t>
      </w:r>
      <w:proofErr w:type="spellEnd"/>
      <w:r w:rsidR="00C169C4" w:rsidRPr="00754882">
        <w:t>, 2023</w:t>
      </w:r>
      <w:r w:rsidR="009D41B0" w:rsidRPr="00754882">
        <w:t>).</w:t>
      </w:r>
      <w:r w:rsidR="00D16FCA" w:rsidRPr="00754882">
        <w:t xml:space="preserve"> </w:t>
      </w:r>
      <w:r w:rsidR="009D41B0" w:rsidRPr="00754882">
        <w:t>D</w:t>
      </w:r>
      <w:r w:rsidR="00D16FCA" w:rsidRPr="00754882">
        <w:t xml:space="preserve">ifferent communities and voices require </w:t>
      </w:r>
      <w:r w:rsidR="009D41B0" w:rsidRPr="00754882">
        <w:t xml:space="preserve">varied </w:t>
      </w:r>
      <w:r w:rsidR="00D16FCA" w:rsidRPr="00754882">
        <w:t>approaches</w:t>
      </w:r>
      <w:r w:rsidR="007A505E" w:rsidRPr="00754882">
        <w:t xml:space="preserve"> </w:t>
      </w:r>
      <w:r w:rsidR="009D41B0" w:rsidRPr="00754882">
        <w:t xml:space="preserve">which </w:t>
      </w:r>
      <w:r w:rsidR="007A505E" w:rsidRPr="00754882">
        <w:t>present c</w:t>
      </w:r>
      <w:r w:rsidR="00F30546" w:rsidRPr="00754882">
        <w:t>hallenges in</w:t>
      </w:r>
      <w:r w:rsidR="00E50205" w:rsidRPr="00754882">
        <w:t xml:space="preserve"> collating and</w:t>
      </w:r>
      <w:r w:rsidR="00F30546" w:rsidRPr="00754882">
        <w:t xml:space="preserve"> triangulating data.  </w:t>
      </w:r>
      <w:r w:rsidR="00D16FCA" w:rsidRPr="00754882">
        <w:t>The use of mapping helps to embed and fix stories</w:t>
      </w:r>
      <w:r w:rsidR="005527BB" w:rsidRPr="00754882">
        <w:t xml:space="preserve"> </w:t>
      </w:r>
      <w:r w:rsidR="009D41B0" w:rsidRPr="00754882">
        <w:t>visually</w:t>
      </w:r>
      <w:r w:rsidR="005527BB" w:rsidRPr="00754882">
        <w:t>, which in turn</w:t>
      </w:r>
      <w:r w:rsidR="000D62E8" w:rsidRPr="00754882">
        <w:t xml:space="preserve"> helps to ‘anchor’ tourism value</w:t>
      </w:r>
      <w:r w:rsidR="000113D2" w:rsidRPr="00754882">
        <w:t xml:space="preserve">.  </w:t>
      </w:r>
      <w:r w:rsidR="007A505E" w:rsidRPr="00754882">
        <w:t xml:space="preserve"> </w:t>
      </w:r>
      <w:r w:rsidR="00D80FD1" w:rsidRPr="00754882">
        <w:rPr>
          <w:rFonts w:cstheme="minorHAnsi"/>
          <w:color w:val="000000"/>
        </w:rPr>
        <w:t xml:space="preserve">More work is </w:t>
      </w:r>
      <w:r w:rsidR="009D41B0" w:rsidRPr="00754882">
        <w:rPr>
          <w:rFonts w:cstheme="minorHAnsi"/>
          <w:color w:val="000000"/>
        </w:rPr>
        <w:t>required</w:t>
      </w:r>
      <w:r w:rsidR="00D80FD1" w:rsidRPr="00754882">
        <w:rPr>
          <w:rFonts w:cstheme="minorHAnsi"/>
          <w:color w:val="000000"/>
        </w:rPr>
        <w:t xml:space="preserve"> to </w:t>
      </w:r>
      <w:r w:rsidR="00C95F0E" w:rsidRPr="00754882">
        <w:rPr>
          <w:rFonts w:cstheme="minorHAnsi"/>
          <w:color w:val="000000"/>
        </w:rPr>
        <w:t>collate</w:t>
      </w:r>
      <w:r w:rsidR="00D80FD1" w:rsidRPr="00754882">
        <w:rPr>
          <w:rFonts w:cstheme="minorHAnsi"/>
          <w:color w:val="000000"/>
        </w:rPr>
        <w:t xml:space="preserve"> </w:t>
      </w:r>
      <w:r w:rsidR="00A819F4" w:rsidRPr="00754882">
        <w:rPr>
          <w:rFonts w:cstheme="minorHAnsi"/>
          <w:color w:val="000000"/>
        </w:rPr>
        <w:t xml:space="preserve">additional </w:t>
      </w:r>
      <w:r w:rsidR="0016413B" w:rsidRPr="00754882">
        <w:rPr>
          <w:rFonts w:cstheme="minorHAnsi"/>
          <w:color w:val="000000"/>
        </w:rPr>
        <w:t xml:space="preserve">community </w:t>
      </w:r>
      <w:r w:rsidR="00D80FD1" w:rsidRPr="00754882">
        <w:rPr>
          <w:rFonts w:cstheme="minorHAnsi"/>
          <w:color w:val="000000"/>
        </w:rPr>
        <w:t xml:space="preserve">voices </w:t>
      </w:r>
      <w:r w:rsidR="00CA3245" w:rsidRPr="00754882">
        <w:rPr>
          <w:rFonts w:cstheme="minorHAnsi"/>
          <w:color w:val="000000"/>
        </w:rPr>
        <w:t>to</w:t>
      </w:r>
      <w:r w:rsidR="00C95F0E" w:rsidRPr="00754882">
        <w:rPr>
          <w:rFonts w:cstheme="minorHAnsi"/>
          <w:color w:val="000000"/>
        </w:rPr>
        <w:t xml:space="preserve"> </w:t>
      </w:r>
      <w:r w:rsidR="00304547" w:rsidRPr="00754882">
        <w:rPr>
          <w:rFonts w:cstheme="minorHAnsi"/>
          <w:color w:val="000000"/>
        </w:rPr>
        <w:t>include recordings of locals’ stories</w:t>
      </w:r>
      <w:r w:rsidR="00CA3245" w:rsidRPr="00754882">
        <w:rPr>
          <w:rFonts w:cstheme="minorHAnsi"/>
          <w:color w:val="000000"/>
        </w:rPr>
        <w:t xml:space="preserve"> in the trails </w:t>
      </w:r>
      <w:r w:rsidR="00D80FD1" w:rsidRPr="00754882">
        <w:rPr>
          <w:rFonts w:cstheme="minorHAnsi"/>
          <w:color w:val="000000"/>
        </w:rPr>
        <w:t xml:space="preserve">that truly </w:t>
      </w:r>
      <w:r w:rsidR="00DE137D" w:rsidRPr="00754882">
        <w:rPr>
          <w:rFonts w:cstheme="minorHAnsi"/>
          <w:color w:val="000000"/>
        </w:rPr>
        <w:t>encourage</w:t>
      </w:r>
      <w:r w:rsidR="00CA3245" w:rsidRPr="00754882">
        <w:rPr>
          <w:rFonts w:cstheme="minorHAnsi"/>
          <w:color w:val="000000"/>
        </w:rPr>
        <w:t>s</w:t>
      </w:r>
      <w:r w:rsidR="00DE137D" w:rsidRPr="00754882">
        <w:rPr>
          <w:rFonts w:cstheme="minorHAnsi"/>
          <w:color w:val="000000"/>
        </w:rPr>
        <w:t xml:space="preserve"> regenerative tourism for the </w:t>
      </w:r>
      <w:proofErr w:type="gramStart"/>
      <w:r w:rsidR="00DE137D" w:rsidRPr="00754882">
        <w:rPr>
          <w:rFonts w:cstheme="minorHAnsi"/>
          <w:color w:val="000000"/>
        </w:rPr>
        <w:t>whole  county</w:t>
      </w:r>
      <w:proofErr w:type="gramEnd"/>
      <w:r w:rsidR="0069226E" w:rsidRPr="00754882">
        <w:rPr>
          <w:rFonts w:cstheme="minorHAnsi"/>
          <w:color w:val="000000"/>
        </w:rPr>
        <w:t xml:space="preserve"> and its ecosystems</w:t>
      </w:r>
      <w:r w:rsidR="00DE137D" w:rsidRPr="00754882">
        <w:rPr>
          <w:rFonts w:cstheme="minorHAnsi"/>
          <w:color w:val="000000"/>
        </w:rPr>
        <w:t>.</w:t>
      </w:r>
    </w:p>
    <w:p w14:paraId="506950ED" w14:textId="2FEC9FDC" w:rsidR="00D3041E" w:rsidRPr="00754882" w:rsidRDefault="009A65CE" w:rsidP="00E40B2B">
      <w:r w:rsidRPr="00754882">
        <w:rPr>
          <w:b/>
          <w:bCs/>
        </w:rPr>
        <w:t>References</w:t>
      </w:r>
    </w:p>
    <w:p w14:paraId="3BA3E99F" w14:textId="03ED505E" w:rsidR="00D3041E" w:rsidRPr="00754882" w:rsidRDefault="00B658B7" w:rsidP="00E40B2B">
      <w:proofErr w:type="spellStart"/>
      <w:r w:rsidRPr="00754882">
        <w:t>Ateljevic</w:t>
      </w:r>
      <w:proofErr w:type="spellEnd"/>
      <w:r w:rsidRPr="00754882">
        <w:t xml:space="preserve">, I. (2020). Transforming the (tourism) world for good and (re)generating the potential ‘new normal. </w:t>
      </w:r>
      <w:r w:rsidRPr="00754882">
        <w:rPr>
          <w:i/>
          <w:iCs/>
        </w:rPr>
        <w:t>Tourism Geographies</w:t>
      </w:r>
      <w:r w:rsidRPr="00754882">
        <w:t xml:space="preserve">, 22(3), 467–475. </w:t>
      </w:r>
      <w:hyperlink r:id="rId7" w:history="1">
        <w:r w:rsidRPr="00754882">
          <w:rPr>
            <w:rStyle w:val="Hyperlink"/>
          </w:rPr>
          <w:t>https://doi.org/10.1080/14616688.2020.1759134</w:t>
        </w:r>
      </w:hyperlink>
    </w:p>
    <w:p w14:paraId="3E2A4CD7" w14:textId="4CE83D13" w:rsidR="00B658B7" w:rsidRPr="00754882" w:rsidRDefault="00A27748" w:rsidP="00E40B2B">
      <w:r w:rsidRPr="00754882">
        <w:t xml:space="preserve">Becken, S., &amp; Kaur, J. (2022). Anchoring “tourism value” within a regenerative tourism paradigm – a government perspective. Journal of Sustainable Tourism, 30(1), 52–68. </w:t>
      </w:r>
      <w:hyperlink r:id="rId8" w:history="1">
        <w:r w:rsidR="00CF7F42" w:rsidRPr="00754882">
          <w:rPr>
            <w:rStyle w:val="Hyperlink"/>
          </w:rPr>
          <w:t>https://doi.org/10.1080/09669582.2021.1990305</w:t>
        </w:r>
      </w:hyperlink>
    </w:p>
    <w:p w14:paraId="3CA1F61A" w14:textId="4958CFAE" w:rsidR="00CF7F42" w:rsidRPr="00754882" w:rsidRDefault="00CF7F42" w:rsidP="00E40B2B">
      <w:proofErr w:type="spellStart"/>
      <w:r w:rsidRPr="00754882">
        <w:lastRenderedPageBreak/>
        <w:t>Bellato</w:t>
      </w:r>
      <w:proofErr w:type="spellEnd"/>
      <w:r w:rsidRPr="00754882">
        <w:t xml:space="preserve">, L., </w:t>
      </w:r>
      <w:proofErr w:type="spellStart"/>
      <w:r w:rsidRPr="00754882">
        <w:t>Frantzeskaki</w:t>
      </w:r>
      <w:proofErr w:type="spellEnd"/>
      <w:r w:rsidRPr="00754882">
        <w:t>, N., &amp; Nygaard, C. A. (202</w:t>
      </w:r>
      <w:r w:rsidR="00BB4989" w:rsidRPr="00754882">
        <w:t>3</w:t>
      </w:r>
      <w:r w:rsidR="00832444" w:rsidRPr="00754882">
        <w:t>a</w:t>
      </w:r>
      <w:r w:rsidRPr="00754882">
        <w:t xml:space="preserve">). Regenerative tourism: A conceptual framework leveraging theory and practice. </w:t>
      </w:r>
      <w:r w:rsidRPr="00754882">
        <w:rPr>
          <w:i/>
          <w:iCs/>
        </w:rPr>
        <w:t>Tourism Geographies</w:t>
      </w:r>
      <w:r w:rsidRPr="00754882">
        <w:t xml:space="preserve">, </w:t>
      </w:r>
      <w:r w:rsidR="001F1BCE" w:rsidRPr="00754882">
        <w:rPr>
          <w:i/>
          <w:iCs/>
        </w:rPr>
        <w:t>25</w:t>
      </w:r>
      <w:r w:rsidR="001F1BCE" w:rsidRPr="00754882">
        <w:t xml:space="preserve">, (4), 1026–1046. </w:t>
      </w:r>
      <w:hyperlink r:id="rId9" w:history="1">
        <w:r w:rsidR="001F1BCE" w:rsidRPr="00754882">
          <w:rPr>
            <w:rStyle w:val="Hyperlink"/>
          </w:rPr>
          <w:t>https://doi.org/10.1080/14616688.2022.2044376</w:t>
        </w:r>
      </w:hyperlink>
    </w:p>
    <w:p w14:paraId="48EE9D06" w14:textId="4ADD2778" w:rsidR="00832444" w:rsidRPr="00754882" w:rsidRDefault="00832444" w:rsidP="00D01A90">
      <w:pPr>
        <w:spacing w:after="0" w:line="240" w:lineRule="auto"/>
        <w:jc w:val="both"/>
        <w:rPr>
          <w:rFonts w:eastAsia="Arial" w:cstheme="minorHAnsi"/>
        </w:rPr>
      </w:pPr>
      <w:proofErr w:type="spellStart"/>
      <w:r w:rsidRPr="00754882">
        <w:rPr>
          <w:rFonts w:eastAsia="Arial" w:cstheme="minorHAnsi"/>
        </w:rPr>
        <w:t>Bellato</w:t>
      </w:r>
      <w:proofErr w:type="spellEnd"/>
      <w:r w:rsidRPr="00754882">
        <w:rPr>
          <w:rFonts w:eastAsia="Arial" w:cstheme="minorHAnsi"/>
        </w:rPr>
        <w:t xml:space="preserve">, L., </w:t>
      </w:r>
      <w:proofErr w:type="spellStart"/>
      <w:r w:rsidRPr="00754882">
        <w:rPr>
          <w:rFonts w:eastAsia="Arial" w:cstheme="minorHAnsi"/>
        </w:rPr>
        <w:t>Frantzeskaki</w:t>
      </w:r>
      <w:proofErr w:type="spellEnd"/>
      <w:r w:rsidRPr="00754882">
        <w:rPr>
          <w:rFonts w:eastAsia="Arial" w:cstheme="minorHAnsi"/>
        </w:rPr>
        <w:t>, N., Lee, E., Cheer, J.M. &amp; Peters, A. (2023</w:t>
      </w:r>
      <w:r w:rsidR="00AC532E" w:rsidRPr="00754882">
        <w:rPr>
          <w:rFonts w:eastAsia="Arial" w:cstheme="minorHAnsi"/>
        </w:rPr>
        <w:t>b</w:t>
      </w:r>
      <w:r w:rsidRPr="00754882">
        <w:rPr>
          <w:rFonts w:eastAsia="Arial" w:cstheme="minorHAnsi"/>
        </w:rPr>
        <w:t>).  Transformative</w:t>
      </w:r>
    </w:p>
    <w:p w14:paraId="050AD5E9" w14:textId="77777777" w:rsidR="00832444" w:rsidRPr="00754882" w:rsidRDefault="00832444" w:rsidP="00D01A90">
      <w:pPr>
        <w:spacing w:after="0" w:line="240" w:lineRule="auto"/>
        <w:jc w:val="both"/>
        <w:rPr>
          <w:rFonts w:eastAsia="Arial" w:cstheme="minorHAnsi"/>
        </w:rPr>
      </w:pPr>
      <w:r w:rsidRPr="00754882">
        <w:rPr>
          <w:rFonts w:eastAsia="Arial" w:cstheme="minorHAnsi"/>
        </w:rPr>
        <w:t xml:space="preserve">epistemologies for regenerative tourism: towards a decolonial paradigm in science and practice?  </w:t>
      </w:r>
      <w:r w:rsidRPr="00754882">
        <w:rPr>
          <w:rFonts w:eastAsia="Arial" w:cstheme="minorHAnsi"/>
          <w:i/>
          <w:iCs/>
        </w:rPr>
        <w:t>Journal of Sustainable Tourism</w:t>
      </w:r>
      <w:r w:rsidRPr="00754882">
        <w:rPr>
          <w:rFonts w:eastAsia="Arial" w:cstheme="minorHAnsi"/>
        </w:rPr>
        <w:t>, DOI: 10.1080/09669582.2023.2208310</w:t>
      </w:r>
    </w:p>
    <w:p w14:paraId="700DCE73" w14:textId="77777777" w:rsidR="00987F6F" w:rsidRPr="00754882" w:rsidRDefault="00987F6F" w:rsidP="00D01A90">
      <w:pPr>
        <w:spacing w:after="0" w:line="240" w:lineRule="auto"/>
        <w:jc w:val="both"/>
        <w:rPr>
          <w:rFonts w:eastAsia="Arial" w:cstheme="minorHAnsi"/>
        </w:rPr>
      </w:pPr>
    </w:p>
    <w:p w14:paraId="35A4C9DA" w14:textId="77777777" w:rsidR="006B13CB" w:rsidRPr="00754882" w:rsidRDefault="006B13CB" w:rsidP="00D01A90">
      <w:pPr>
        <w:spacing w:after="0" w:line="240" w:lineRule="auto"/>
        <w:jc w:val="both"/>
        <w:rPr>
          <w:rFonts w:eastAsia="Arial" w:cstheme="minorHAnsi"/>
          <w:i/>
        </w:rPr>
      </w:pPr>
      <w:r w:rsidRPr="00754882">
        <w:rPr>
          <w:rFonts w:eastAsia="Arial" w:cstheme="minorHAnsi"/>
        </w:rPr>
        <w:t xml:space="preserve">Bridgend County Borough Council (2022). </w:t>
      </w:r>
      <w:r w:rsidRPr="00754882">
        <w:rPr>
          <w:rFonts w:eastAsia="Arial" w:cstheme="minorHAnsi"/>
          <w:i/>
        </w:rPr>
        <w:t> An Economic Strategy for Bridgend County</w:t>
      </w:r>
    </w:p>
    <w:p w14:paraId="0DE07103" w14:textId="77777777" w:rsidR="006B13CB" w:rsidRPr="00754882" w:rsidRDefault="006B13CB" w:rsidP="00D01A90">
      <w:pPr>
        <w:spacing w:after="0" w:line="240" w:lineRule="auto"/>
        <w:jc w:val="both"/>
        <w:rPr>
          <w:rFonts w:eastAsia="Arial" w:cstheme="minorHAnsi"/>
        </w:rPr>
      </w:pPr>
      <w:r w:rsidRPr="00754882">
        <w:rPr>
          <w:rFonts w:eastAsia="Arial" w:cstheme="minorHAnsi"/>
          <w:i/>
        </w:rPr>
        <w:t>Borough; framing economic planning and development for the next 10 years</w:t>
      </w:r>
      <w:r w:rsidRPr="00754882">
        <w:rPr>
          <w:rFonts w:eastAsia="Arial" w:cstheme="minorHAnsi"/>
        </w:rPr>
        <w:t xml:space="preserve">.  </w:t>
      </w:r>
      <w:hyperlink r:id="rId10">
        <w:r w:rsidRPr="00754882">
          <w:rPr>
            <w:rFonts w:eastAsia="Arial" w:cstheme="minorHAnsi"/>
            <w:u w:val="single"/>
          </w:rPr>
          <w:t>Appendix 1 Bridgend County Economic Strategy FINAL.pdf</w:t>
        </w:r>
      </w:hyperlink>
      <w:r w:rsidRPr="00754882">
        <w:rPr>
          <w:rFonts w:eastAsia="Arial" w:cstheme="minorHAnsi"/>
        </w:rPr>
        <w:t>.</w:t>
      </w:r>
    </w:p>
    <w:p w14:paraId="4C816165" w14:textId="77777777" w:rsidR="006B13CB" w:rsidRPr="00754882" w:rsidRDefault="006B13CB" w:rsidP="00D01A90">
      <w:pPr>
        <w:spacing w:after="0" w:line="240" w:lineRule="auto"/>
        <w:jc w:val="both"/>
        <w:rPr>
          <w:rFonts w:eastAsia="Arial" w:cstheme="minorHAnsi"/>
        </w:rPr>
      </w:pPr>
    </w:p>
    <w:p w14:paraId="765C3822" w14:textId="185D4088" w:rsidR="006B13CB" w:rsidRPr="00754882" w:rsidRDefault="006B13CB" w:rsidP="00D01A90">
      <w:pPr>
        <w:spacing w:after="0" w:line="240" w:lineRule="auto"/>
        <w:jc w:val="both"/>
        <w:rPr>
          <w:rFonts w:eastAsia="Arial" w:cstheme="minorHAnsi"/>
        </w:rPr>
      </w:pPr>
      <w:r w:rsidRPr="00754882">
        <w:rPr>
          <w:rFonts w:eastAsia="Arial" w:cstheme="minorHAnsi"/>
        </w:rPr>
        <w:t xml:space="preserve">Bridgend County Borough Council (2023).  </w:t>
      </w:r>
      <w:r w:rsidRPr="00754882">
        <w:rPr>
          <w:rFonts w:eastAsia="Arial" w:cstheme="minorHAnsi"/>
          <w:i/>
        </w:rPr>
        <w:t>Visitor Economy</w:t>
      </w:r>
      <w:r w:rsidRPr="00754882">
        <w:rPr>
          <w:rFonts w:eastAsia="Arial" w:cstheme="minorHAnsi"/>
        </w:rPr>
        <w:t xml:space="preserve">.  </w:t>
      </w:r>
    </w:p>
    <w:p w14:paraId="31C579C9" w14:textId="4AE26B75" w:rsidR="006B13CB" w:rsidRPr="00754882" w:rsidRDefault="002C0DC7" w:rsidP="00D01A90">
      <w:pPr>
        <w:spacing w:after="0" w:line="240" w:lineRule="auto"/>
        <w:jc w:val="both"/>
        <w:rPr>
          <w:rFonts w:eastAsia="Arial" w:cstheme="minorHAnsi"/>
        </w:rPr>
      </w:pPr>
      <w:hyperlink r:id="rId11" w:history="1">
        <w:r w:rsidR="006B13CB" w:rsidRPr="00754882">
          <w:rPr>
            <w:rStyle w:val="Hyperlink"/>
            <w:rFonts w:eastAsia="Calibri" w:cstheme="minorHAnsi"/>
          </w:rPr>
          <w:t>https://www.bridgend.gov.uk/business/business-zone/visitor-economy/</w:t>
        </w:r>
      </w:hyperlink>
    </w:p>
    <w:p w14:paraId="627BC12A" w14:textId="77777777" w:rsidR="009D242E" w:rsidRPr="00754882" w:rsidRDefault="009D242E" w:rsidP="00D01A90">
      <w:pPr>
        <w:spacing w:after="0"/>
        <w:jc w:val="both"/>
      </w:pPr>
    </w:p>
    <w:p w14:paraId="7E208D21" w14:textId="69EDCA6E" w:rsidR="00E43EEB" w:rsidRPr="00754882" w:rsidRDefault="00E43EEB" w:rsidP="00D01A90">
      <w:pPr>
        <w:jc w:val="both"/>
      </w:pPr>
      <w:r w:rsidRPr="00754882">
        <w:t xml:space="preserve">Cheer, J. M. (2020). Human flourishing, tourism transformation and COVID-19: A conceptual touchstone. </w:t>
      </w:r>
      <w:r w:rsidRPr="00754882">
        <w:rPr>
          <w:i/>
          <w:iCs/>
        </w:rPr>
        <w:t>Tourism Geographies</w:t>
      </w:r>
      <w:r w:rsidRPr="00754882">
        <w:t xml:space="preserve">, 22(3), 514–524. </w:t>
      </w:r>
      <w:hyperlink r:id="rId12" w:history="1">
        <w:r w:rsidR="00E41BD3" w:rsidRPr="00754882">
          <w:rPr>
            <w:rStyle w:val="Hyperlink"/>
          </w:rPr>
          <w:t>https://doi.org/10.1080/14616688.2020.1765016</w:t>
        </w:r>
      </w:hyperlink>
    </w:p>
    <w:p w14:paraId="68F0E61B" w14:textId="24B4DD96" w:rsidR="00F13926" w:rsidRPr="00754882" w:rsidRDefault="00F13926" w:rsidP="00D01A90">
      <w:pPr>
        <w:jc w:val="both"/>
      </w:pPr>
      <w:r w:rsidRPr="00754882">
        <w:t>Davies, K., Thatcher, C., Haven-Tang, C., Packer, R.A.J. &amp; Thomas, A.T. (</w:t>
      </w:r>
      <w:r w:rsidR="002A69D5" w:rsidRPr="00754882">
        <w:t>forthcoming</w:t>
      </w:r>
      <w:r w:rsidRPr="00754882">
        <w:t xml:space="preserve">).  </w:t>
      </w:r>
      <w:r w:rsidR="00F40B02" w:rsidRPr="00754882">
        <w:t xml:space="preserve">‘Story-mapping’ </w:t>
      </w:r>
      <w:r w:rsidR="003674A5" w:rsidRPr="00754882">
        <w:t>with</w:t>
      </w:r>
      <w:r w:rsidR="00F40B02" w:rsidRPr="00754882">
        <w:t>in a local festival; a</w:t>
      </w:r>
      <w:r w:rsidR="00E64D5C" w:rsidRPr="00754882">
        <w:t xml:space="preserve"> method to encourage regenerative tourism.  </w:t>
      </w:r>
      <w:r w:rsidR="00E64D5C" w:rsidRPr="00754882">
        <w:rPr>
          <w:i/>
          <w:iCs/>
        </w:rPr>
        <w:t xml:space="preserve">Event Management.  </w:t>
      </w:r>
    </w:p>
    <w:p w14:paraId="235E9B92" w14:textId="51F9D944" w:rsidR="00E41BD3" w:rsidRPr="00754882" w:rsidRDefault="00E41BD3" w:rsidP="00D01A90">
      <w:pPr>
        <w:jc w:val="both"/>
      </w:pPr>
      <w:r w:rsidRPr="00754882">
        <w:t xml:space="preserve">Dredge, D. (2022). Regenerative tourism: Transforming mindsets, </w:t>
      </w:r>
      <w:proofErr w:type="gramStart"/>
      <w:r w:rsidRPr="00754882">
        <w:t>systems</w:t>
      </w:r>
      <w:proofErr w:type="gramEnd"/>
      <w:r w:rsidRPr="00754882">
        <w:t xml:space="preserve"> and practices. </w:t>
      </w:r>
      <w:r w:rsidRPr="00754882">
        <w:rPr>
          <w:i/>
          <w:iCs/>
        </w:rPr>
        <w:t>Journal of Tourism Futures</w:t>
      </w:r>
      <w:r w:rsidRPr="00754882">
        <w:t xml:space="preserve">, 8(3), 269–281. </w:t>
      </w:r>
      <w:hyperlink r:id="rId13" w:history="1">
        <w:r w:rsidR="000B165A" w:rsidRPr="00754882">
          <w:rPr>
            <w:rStyle w:val="Hyperlink"/>
          </w:rPr>
          <w:t>https://doi.org/10.1108/JTF-01-2022-0015</w:t>
        </w:r>
      </w:hyperlink>
    </w:p>
    <w:p w14:paraId="5A846706" w14:textId="0D3C581C" w:rsidR="000B165A" w:rsidRPr="00754882" w:rsidRDefault="000B165A" w:rsidP="00D01A90">
      <w:pPr>
        <w:jc w:val="both"/>
      </w:pPr>
      <w:proofErr w:type="spellStart"/>
      <w:r w:rsidRPr="00754882">
        <w:t>Farsari</w:t>
      </w:r>
      <w:proofErr w:type="spellEnd"/>
      <w:r w:rsidRPr="00754882">
        <w:t>, I. (202</w:t>
      </w:r>
      <w:r w:rsidR="002E7C4E" w:rsidRPr="00754882">
        <w:t>3</w:t>
      </w:r>
      <w:r w:rsidRPr="00754882">
        <w:t xml:space="preserve">). Exploring the nexus between sustainable tourism governance, </w:t>
      </w:r>
      <w:proofErr w:type="gramStart"/>
      <w:r w:rsidRPr="00754882">
        <w:t>resilience</w:t>
      </w:r>
      <w:proofErr w:type="gramEnd"/>
      <w:r w:rsidRPr="00754882">
        <w:t xml:space="preserve"> and complexity research. </w:t>
      </w:r>
      <w:r w:rsidR="002E7C4E" w:rsidRPr="00754882">
        <w:rPr>
          <w:i/>
          <w:iCs/>
        </w:rPr>
        <w:t>Tourism Recreation Research 48</w:t>
      </w:r>
      <w:r w:rsidR="002E7C4E" w:rsidRPr="00754882">
        <w:t xml:space="preserve"> (3), 352–367</w:t>
      </w:r>
      <w:r w:rsidR="00D36E32" w:rsidRPr="00754882">
        <w:t xml:space="preserve">. </w:t>
      </w:r>
      <w:r w:rsidR="002E7C4E" w:rsidRPr="00754882">
        <w:t>https://doi.org/10.1080/02508281.2021.1922828</w:t>
      </w:r>
    </w:p>
    <w:p w14:paraId="53C1EF9A" w14:textId="4FE444FE" w:rsidR="00F37FFE" w:rsidRPr="00754882" w:rsidRDefault="00F37FFE" w:rsidP="00D01A90">
      <w:pPr>
        <w:spacing w:after="0" w:line="240" w:lineRule="auto"/>
        <w:jc w:val="both"/>
      </w:pPr>
      <w:r w:rsidRPr="00754882">
        <w:t xml:space="preserve">Gibson, C. (2021). Critical tourism studies: New directions for volatile times. </w:t>
      </w:r>
      <w:r w:rsidRPr="00754882">
        <w:rPr>
          <w:i/>
          <w:iCs/>
        </w:rPr>
        <w:t>Tourism Geographies,</w:t>
      </w:r>
      <w:r w:rsidRPr="00754882">
        <w:t xml:space="preserve"> 23(4), 659–677. </w:t>
      </w:r>
      <w:hyperlink r:id="rId14" w:history="1">
        <w:r w:rsidR="00AA5F5C" w:rsidRPr="00754882">
          <w:rPr>
            <w:rStyle w:val="Hyperlink"/>
          </w:rPr>
          <w:t>https://doi.org/10.1080/14616688.2019.1647453</w:t>
        </w:r>
      </w:hyperlink>
    </w:p>
    <w:p w14:paraId="338835BD" w14:textId="77777777" w:rsidR="00AA5F5C" w:rsidRPr="00754882" w:rsidRDefault="00AA5F5C" w:rsidP="00D01A90">
      <w:pPr>
        <w:spacing w:after="0" w:line="240" w:lineRule="auto"/>
        <w:jc w:val="both"/>
      </w:pPr>
    </w:p>
    <w:p w14:paraId="6286B5F4" w14:textId="4E299AFA" w:rsidR="009D242E" w:rsidRPr="00754882" w:rsidRDefault="00AA5F5C" w:rsidP="00D01A90">
      <w:pPr>
        <w:jc w:val="both"/>
        <w:rPr>
          <w:rStyle w:val="Hyperlink"/>
        </w:rPr>
      </w:pPr>
      <w:proofErr w:type="spellStart"/>
      <w:r w:rsidRPr="00754882">
        <w:t>Polloock</w:t>
      </w:r>
      <w:proofErr w:type="spellEnd"/>
      <w:r w:rsidR="009D242E" w:rsidRPr="00754882">
        <w:t xml:space="preserve">, A. (2019).  </w:t>
      </w:r>
      <w:hyperlink r:id="rId15" w:history="1">
        <w:r w:rsidR="009D242E" w:rsidRPr="00754882">
          <w:rPr>
            <w:rStyle w:val="Hyperlink"/>
          </w:rPr>
          <w:t>Regenerative Tourism: The Natural Maturation of Sustainability</w:t>
        </w:r>
        <w:r w:rsidR="00FC7E75" w:rsidRPr="00754882">
          <w:rPr>
            <w:rStyle w:val="Hyperlink"/>
          </w:rPr>
          <w:t>,</w:t>
        </w:r>
        <w:r w:rsidR="009D242E" w:rsidRPr="00754882">
          <w:rPr>
            <w:rStyle w:val="Hyperlink"/>
          </w:rPr>
          <w:t xml:space="preserve"> The Future | Medium</w:t>
        </w:r>
      </w:hyperlink>
    </w:p>
    <w:p w14:paraId="19DA4695" w14:textId="3AEF7F8B" w:rsidR="008964CB" w:rsidRPr="00754882" w:rsidRDefault="008964CB" w:rsidP="00A15D32">
      <w:pPr>
        <w:pStyle w:val="dx-doi"/>
        <w:spacing w:before="0" w:after="0"/>
        <w:rPr>
          <w:sz w:val="22"/>
          <w:szCs w:val="22"/>
        </w:rPr>
      </w:pPr>
      <w:r w:rsidRPr="00754882">
        <w:rPr>
          <w:rStyle w:val="Hyperlink"/>
          <w:rFonts w:asciiTheme="minorHAnsi" w:hAnsiTheme="minorHAnsi" w:cstheme="minorHAnsi"/>
          <w:color w:val="auto"/>
          <w:sz w:val="22"/>
          <w:szCs w:val="22"/>
          <w:u w:val="none"/>
        </w:rPr>
        <w:t>Pope, E. (2018).  Tourism and Wellbeing:  Transforming People and Places</w:t>
      </w:r>
      <w:r w:rsidR="00320E9C" w:rsidRPr="00754882">
        <w:rPr>
          <w:rStyle w:val="Hyperlink"/>
          <w:rFonts w:asciiTheme="minorHAnsi" w:hAnsiTheme="minorHAnsi" w:cstheme="minorHAnsi"/>
          <w:color w:val="auto"/>
          <w:sz w:val="22"/>
          <w:szCs w:val="22"/>
          <w:u w:val="none"/>
        </w:rPr>
        <w:t xml:space="preserve">.  </w:t>
      </w:r>
      <w:r w:rsidR="00320E9C" w:rsidRPr="00754882">
        <w:rPr>
          <w:rStyle w:val="Hyperlink"/>
          <w:rFonts w:asciiTheme="minorHAnsi" w:hAnsiTheme="minorHAnsi" w:cstheme="minorHAnsi"/>
          <w:i/>
          <w:iCs/>
          <w:color w:val="auto"/>
          <w:sz w:val="22"/>
          <w:szCs w:val="22"/>
          <w:u w:val="none"/>
        </w:rPr>
        <w:t>International Journal of Spa and Wellness, I</w:t>
      </w:r>
      <w:r w:rsidR="00320E9C" w:rsidRPr="00754882">
        <w:rPr>
          <w:rStyle w:val="Hyperlink"/>
          <w:rFonts w:asciiTheme="minorHAnsi" w:hAnsiTheme="minorHAnsi" w:cstheme="minorHAnsi"/>
          <w:color w:val="auto"/>
          <w:sz w:val="22"/>
          <w:szCs w:val="22"/>
          <w:u w:val="none"/>
        </w:rPr>
        <w:t xml:space="preserve"> (1), </w:t>
      </w:r>
      <w:r w:rsidR="00137995" w:rsidRPr="00754882">
        <w:rPr>
          <w:rStyle w:val="Hyperlink"/>
          <w:rFonts w:asciiTheme="minorHAnsi" w:hAnsiTheme="minorHAnsi" w:cstheme="minorHAnsi"/>
          <w:color w:val="auto"/>
          <w:sz w:val="22"/>
          <w:szCs w:val="22"/>
          <w:u w:val="none"/>
        </w:rPr>
        <w:t>69-81.</w:t>
      </w:r>
      <w:r w:rsidR="00A15D32" w:rsidRPr="00754882">
        <w:rPr>
          <w:rStyle w:val="Hyperlink"/>
          <w:rFonts w:asciiTheme="minorHAnsi" w:hAnsiTheme="minorHAnsi" w:cstheme="minorHAnsi"/>
          <w:color w:val="auto"/>
          <w:sz w:val="22"/>
          <w:szCs w:val="22"/>
          <w:u w:val="none"/>
        </w:rPr>
        <w:t xml:space="preserve"> </w:t>
      </w:r>
      <w:r w:rsidR="00137995" w:rsidRPr="00754882">
        <w:rPr>
          <w:rStyle w:val="Hyperlink"/>
          <w:rFonts w:asciiTheme="minorHAnsi" w:hAnsiTheme="minorHAnsi" w:cstheme="minorHAnsi"/>
          <w:color w:val="auto"/>
          <w:sz w:val="22"/>
          <w:szCs w:val="22"/>
          <w:u w:val="none"/>
        </w:rPr>
        <w:t xml:space="preserve"> </w:t>
      </w:r>
      <w:hyperlink r:id="rId16" w:history="1">
        <w:r w:rsidR="00137995" w:rsidRPr="00754882">
          <w:rPr>
            <w:rFonts w:asciiTheme="minorHAnsi" w:hAnsiTheme="minorHAnsi" w:cstheme="minorHAnsi"/>
            <w:color w:val="006DB4"/>
            <w:sz w:val="22"/>
            <w:szCs w:val="22"/>
            <w:u w:val="single"/>
          </w:rPr>
          <w:t>https://doi.org/10.1080/24721735.2018.1438559</w:t>
        </w:r>
      </w:hyperlink>
    </w:p>
    <w:p w14:paraId="0CE82274" w14:textId="64FF3E10" w:rsidR="00AA5F5C" w:rsidRPr="00754882" w:rsidRDefault="00AA5F5C" w:rsidP="00D01A90">
      <w:pPr>
        <w:spacing w:after="0" w:line="240" w:lineRule="auto"/>
        <w:jc w:val="both"/>
        <w:rPr>
          <w:rFonts w:cstheme="minorHAnsi"/>
        </w:rPr>
      </w:pPr>
    </w:p>
    <w:sectPr w:rsidR="00AA5F5C" w:rsidRPr="007548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812AF9"/>
    <w:multiLevelType w:val="multilevel"/>
    <w:tmpl w:val="BFFCD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99094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9AD"/>
    <w:rsid w:val="00004633"/>
    <w:rsid w:val="000113D2"/>
    <w:rsid w:val="000126AF"/>
    <w:rsid w:val="0001398D"/>
    <w:rsid w:val="00026DE7"/>
    <w:rsid w:val="00031CDE"/>
    <w:rsid w:val="00033CA4"/>
    <w:rsid w:val="00057F99"/>
    <w:rsid w:val="0006583D"/>
    <w:rsid w:val="00073DC3"/>
    <w:rsid w:val="0007793A"/>
    <w:rsid w:val="000951E4"/>
    <w:rsid w:val="000A221D"/>
    <w:rsid w:val="000A3EF4"/>
    <w:rsid w:val="000B03E5"/>
    <w:rsid w:val="000B165A"/>
    <w:rsid w:val="000B3334"/>
    <w:rsid w:val="000C071A"/>
    <w:rsid w:val="000D0C4D"/>
    <w:rsid w:val="000D1048"/>
    <w:rsid w:val="000D62E8"/>
    <w:rsid w:val="000E0982"/>
    <w:rsid w:val="000E17F3"/>
    <w:rsid w:val="000F72EE"/>
    <w:rsid w:val="00110E5C"/>
    <w:rsid w:val="00115B3B"/>
    <w:rsid w:val="00116EFE"/>
    <w:rsid w:val="0013116B"/>
    <w:rsid w:val="00133150"/>
    <w:rsid w:val="00137995"/>
    <w:rsid w:val="00142C81"/>
    <w:rsid w:val="001505EE"/>
    <w:rsid w:val="0015194A"/>
    <w:rsid w:val="0016105E"/>
    <w:rsid w:val="0016413B"/>
    <w:rsid w:val="0017037C"/>
    <w:rsid w:val="00174A35"/>
    <w:rsid w:val="00192FDB"/>
    <w:rsid w:val="001949E6"/>
    <w:rsid w:val="001B2A82"/>
    <w:rsid w:val="001B59DE"/>
    <w:rsid w:val="001D5430"/>
    <w:rsid w:val="001E1637"/>
    <w:rsid w:val="001E21BF"/>
    <w:rsid w:val="001F1BCE"/>
    <w:rsid w:val="001F4B1D"/>
    <w:rsid w:val="001F77EB"/>
    <w:rsid w:val="00203156"/>
    <w:rsid w:val="00207F70"/>
    <w:rsid w:val="002125FA"/>
    <w:rsid w:val="002147FD"/>
    <w:rsid w:val="00231393"/>
    <w:rsid w:val="0023766D"/>
    <w:rsid w:val="002472ED"/>
    <w:rsid w:val="0025637A"/>
    <w:rsid w:val="0026763B"/>
    <w:rsid w:val="00270A3F"/>
    <w:rsid w:val="00272706"/>
    <w:rsid w:val="00274525"/>
    <w:rsid w:val="00277844"/>
    <w:rsid w:val="0028351C"/>
    <w:rsid w:val="00290711"/>
    <w:rsid w:val="00291DBC"/>
    <w:rsid w:val="002A69D5"/>
    <w:rsid w:val="002B41F8"/>
    <w:rsid w:val="002C096B"/>
    <w:rsid w:val="002C0B5B"/>
    <w:rsid w:val="002D078C"/>
    <w:rsid w:val="002D580A"/>
    <w:rsid w:val="002E7C4E"/>
    <w:rsid w:val="00304547"/>
    <w:rsid w:val="003176BF"/>
    <w:rsid w:val="00320AEF"/>
    <w:rsid w:val="00320E9C"/>
    <w:rsid w:val="003264C6"/>
    <w:rsid w:val="00327366"/>
    <w:rsid w:val="00330BD5"/>
    <w:rsid w:val="003331F6"/>
    <w:rsid w:val="00344621"/>
    <w:rsid w:val="00344DFC"/>
    <w:rsid w:val="003618EF"/>
    <w:rsid w:val="003674A5"/>
    <w:rsid w:val="00370134"/>
    <w:rsid w:val="0038162A"/>
    <w:rsid w:val="00382CBE"/>
    <w:rsid w:val="003875EE"/>
    <w:rsid w:val="0039121C"/>
    <w:rsid w:val="00391C8B"/>
    <w:rsid w:val="003A0A00"/>
    <w:rsid w:val="003B156B"/>
    <w:rsid w:val="003B24C9"/>
    <w:rsid w:val="003B7568"/>
    <w:rsid w:val="003B7D83"/>
    <w:rsid w:val="003C567C"/>
    <w:rsid w:val="003D66D0"/>
    <w:rsid w:val="003E229B"/>
    <w:rsid w:val="003E2390"/>
    <w:rsid w:val="00401996"/>
    <w:rsid w:val="00440DA7"/>
    <w:rsid w:val="00443532"/>
    <w:rsid w:val="004625B6"/>
    <w:rsid w:val="004670DE"/>
    <w:rsid w:val="004704A2"/>
    <w:rsid w:val="00471D00"/>
    <w:rsid w:val="004814E6"/>
    <w:rsid w:val="00483BB9"/>
    <w:rsid w:val="00487E27"/>
    <w:rsid w:val="00490175"/>
    <w:rsid w:val="004939B5"/>
    <w:rsid w:val="004A0AE4"/>
    <w:rsid w:val="004A359B"/>
    <w:rsid w:val="004B138B"/>
    <w:rsid w:val="004B5D63"/>
    <w:rsid w:val="004B716C"/>
    <w:rsid w:val="004C3A1D"/>
    <w:rsid w:val="004E5C1D"/>
    <w:rsid w:val="004F0819"/>
    <w:rsid w:val="004F2708"/>
    <w:rsid w:val="0051508C"/>
    <w:rsid w:val="00516915"/>
    <w:rsid w:val="005232A3"/>
    <w:rsid w:val="00531901"/>
    <w:rsid w:val="005527BB"/>
    <w:rsid w:val="00553291"/>
    <w:rsid w:val="00553534"/>
    <w:rsid w:val="00561686"/>
    <w:rsid w:val="00561D4E"/>
    <w:rsid w:val="005622A8"/>
    <w:rsid w:val="00563102"/>
    <w:rsid w:val="0056653B"/>
    <w:rsid w:val="00570339"/>
    <w:rsid w:val="00584161"/>
    <w:rsid w:val="0058598E"/>
    <w:rsid w:val="00591590"/>
    <w:rsid w:val="005935D2"/>
    <w:rsid w:val="005A0445"/>
    <w:rsid w:val="005A785E"/>
    <w:rsid w:val="005B6231"/>
    <w:rsid w:val="005D0D5A"/>
    <w:rsid w:val="00603124"/>
    <w:rsid w:val="00603F6D"/>
    <w:rsid w:val="0061700D"/>
    <w:rsid w:val="00617691"/>
    <w:rsid w:val="006249C9"/>
    <w:rsid w:val="00626248"/>
    <w:rsid w:val="00627B2F"/>
    <w:rsid w:val="00627FE0"/>
    <w:rsid w:val="00632B72"/>
    <w:rsid w:val="00634474"/>
    <w:rsid w:val="00637E80"/>
    <w:rsid w:val="0064281E"/>
    <w:rsid w:val="00643893"/>
    <w:rsid w:val="00653661"/>
    <w:rsid w:val="00666D4C"/>
    <w:rsid w:val="006711ED"/>
    <w:rsid w:val="00675D84"/>
    <w:rsid w:val="006776FF"/>
    <w:rsid w:val="0069226E"/>
    <w:rsid w:val="006923CE"/>
    <w:rsid w:val="0069340D"/>
    <w:rsid w:val="00693B2E"/>
    <w:rsid w:val="00694D47"/>
    <w:rsid w:val="006A0C5C"/>
    <w:rsid w:val="006A153F"/>
    <w:rsid w:val="006A33EC"/>
    <w:rsid w:val="006A7DD1"/>
    <w:rsid w:val="006B1236"/>
    <w:rsid w:val="006B13CB"/>
    <w:rsid w:val="006B241B"/>
    <w:rsid w:val="006B7AAD"/>
    <w:rsid w:val="006E0473"/>
    <w:rsid w:val="006E54E0"/>
    <w:rsid w:val="006F0E20"/>
    <w:rsid w:val="006F567C"/>
    <w:rsid w:val="007446C6"/>
    <w:rsid w:val="00754882"/>
    <w:rsid w:val="0075632F"/>
    <w:rsid w:val="00763D58"/>
    <w:rsid w:val="00766B5F"/>
    <w:rsid w:val="00777643"/>
    <w:rsid w:val="00780521"/>
    <w:rsid w:val="00796F5B"/>
    <w:rsid w:val="00797CD6"/>
    <w:rsid w:val="00797F39"/>
    <w:rsid w:val="007A193A"/>
    <w:rsid w:val="007A47EB"/>
    <w:rsid w:val="007A505E"/>
    <w:rsid w:val="007B0413"/>
    <w:rsid w:val="007B21A8"/>
    <w:rsid w:val="007B7033"/>
    <w:rsid w:val="007B7F39"/>
    <w:rsid w:val="007C6704"/>
    <w:rsid w:val="007E2B8A"/>
    <w:rsid w:val="007F37A1"/>
    <w:rsid w:val="007F528D"/>
    <w:rsid w:val="008049B8"/>
    <w:rsid w:val="00810435"/>
    <w:rsid w:val="00832444"/>
    <w:rsid w:val="00843792"/>
    <w:rsid w:val="0084790E"/>
    <w:rsid w:val="00853B7E"/>
    <w:rsid w:val="008567EB"/>
    <w:rsid w:val="008645EA"/>
    <w:rsid w:val="008726E9"/>
    <w:rsid w:val="00886C1A"/>
    <w:rsid w:val="00891CB9"/>
    <w:rsid w:val="008964CB"/>
    <w:rsid w:val="008A4B27"/>
    <w:rsid w:val="008B059B"/>
    <w:rsid w:val="008B1A19"/>
    <w:rsid w:val="008C3DBD"/>
    <w:rsid w:val="008E23EE"/>
    <w:rsid w:val="008E316C"/>
    <w:rsid w:val="008E359B"/>
    <w:rsid w:val="008E43F2"/>
    <w:rsid w:val="008E53A0"/>
    <w:rsid w:val="008E7B83"/>
    <w:rsid w:val="008F400F"/>
    <w:rsid w:val="0090077A"/>
    <w:rsid w:val="00907045"/>
    <w:rsid w:val="009078DD"/>
    <w:rsid w:val="0091388B"/>
    <w:rsid w:val="00922B21"/>
    <w:rsid w:val="00951F09"/>
    <w:rsid w:val="009535A3"/>
    <w:rsid w:val="00966087"/>
    <w:rsid w:val="00966BE0"/>
    <w:rsid w:val="009801A3"/>
    <w:rsid w:val="00985FEA"/>
    <w:rsid w:val="00987B09"/>
    <w:rsid w:val="00987F6F"/>
    <w:rsid w:val="00993CC0"/>
    <w:rsid w:val="0099762D"/>
    <w:rsid w:val="009A2088"/>
    <w:rsid w:val="009A65CE"/>
    <w:rsid w:val="009B153C"/>
    <w:rsid w:val="009B3BB5"/>
    <w:rsid w:val="009B4E97"/>
    <w:rsid w:val="009B635D"/>
    <w:rsid w:val="009C5C63"/>
    <w:rsid w:val="009D242E"/>
    <w:rsid w:val="009D41B0"/>
    <w:rsid w:val="009E4FC6"/>
    <w:rsid w:val="009F1160"/>
    <w:rsid w:val="00A001D0"/>
    <w:rsid w:val="00A00FDF"/>
    <w:rsid w:val="00A15D32"/>
    <w:rsid w:val="00A20A3C"/>
    <w:rsid w:val="00A25BD4"/>
    <w:rsid w:val="00A262BE"/>
    <w:rsid w:val="00A27748"/>
    <w:rsid w:val="00A31826"/>
    <w:rsid w:val="00A40847"/>
    <w:rsid w:val="00A43657"/>
    <w:rsid w:val="00A4623F"/>
    <w:rsid w:val="00A540C2"/>
    <w:rsid w:val="00A61885"/>
    <w:rsid w:val="00A637E5"/>
    <w:rsid w:val="00A644DC"/>
    <w:rsid w:val="00A74D4D"/>
    <w:rsid w:val="00A760AC"/>
    <w:rsid w:val="00A77100"/>
    <w:rsid w:val="00A819F4"/>
    <w:rsid w:val="00A869BF"/>
    <w:rsid w:val="00A93A1F"/>
    <w:rsid w:val="00A95CD8"/>
    <w:rsid w:val="00AA222C"/>
    <w:rsid w:val="00AA5F5C"/>
    <w:rsid w:val="00AA6890"/>
    <w:rsid w:val="00AB3ECE"/>
    <w:rsid w:val="00AB46FA"/>
    <w:rsid w:val="00AC532E"/>
    <w:rsid w:val="00AD38EC"/>
    <w:rsid w:val="00AD4006"/>
    <w:rsid w:val="00AD623E"/>
    <w:rsid w:val="00AD6549"/>
    <w:rsid w:val="00AD692C"/>
    <w:rsid w:val="00AE732B"/>
    <w:rsid w:val="00AF0DA3"/>
    <w:rsid w:val="00AF6848"/>
    <w:rsid w:val="00AF782C"/>
    <w:rsid w:val="00B03CF8"/>
    <w:rsid w:val="00B04061"/>
    <w:rsid w:val="00B20FC2"/>
    <w:rsid w:val="00B25752"/>
    <w:rsid w:val="00B3034A"/>
    <w:rsid w:val="00B40C63"/>
    <w:rsid w:val="00B41530"/>
    <w:rsid w:val="00B41EF8"/>
    <w:rsid w:val="00B43379"/>
    <w:rsid w:val="00B64A70"/>
    <w:rsid w:val="00B658B7"/>
    <w:rsid w:val="00B73FBD"/>
    <w:rsid w:val="00B7708E"/>
    <w:rsid w:val="00B77AF9"/>
    <w:rsid w:val="00B82AFF"/>
    <w:rsid w:val="00B8300F"/>
    <w:rsid w:val="00BA341C"/>
    <w:rsid w:val="00BA4F0C"/>
    <w:rsid w:val="00BB20F6"/>
    <w:rsid w:val="00BB4989"/>
    <w:rsid w:val="00BB63F4"/>
    <w:rsid w:val="00BC07F8"/>
    <w:rsid w:val="00BC746E"/>
    <w:rsid w:val="00BD77A2"/>
    <w:rsid w:val="00BE7CA1"/>
    <w:rsid w:val="00BF513D"/>
    <w:rsid w:val="00C04FC3"/>
    <w:rsid w:val="00C130F0"/>
    <w:rsid w:val="00C163B4"/>
    <w:rsid w:val="00C169C4"/>
    <w:rsid w:val="00C249A8"/>
    <w:rsid w:val="00C26561"/>
    <w:rsid w:val="00C42B5D"/>
    <w:rsid w:val="00C44420"/>
    <w:rsid w:val="00C728BD"/>
    <w:rsid w:val="00C750B8"/>
    <w:rsid w:val="00C75858"/>
    <w:rsid w:val="00C80E9C"/>
    <w:rsid w:val="00C80F82"/>
    <w:rsid w:val="00C84929"/>
    <w:rsid w:val="00C85024"/>
    <w:rsid w:val="00C851D1"/>
    <w:rsid w:val="00C90F23"/>
    <w:rsid w:val="00C94B8F"/>
    <w:rsid w:val="00C9592B"/>
    <w:rsid w:val="00C95F0E"/>
    <w:rsid w:val="00C97919"/>
    <w:rsid w:val="00CA147E"/>
    <w:rsid w:val="00CA3245"/>
    <w:rsid w:val="00CA761B"/>
    <w:rsid w:val="00CB64BE"/>
    <w:rsid w:val="00CD787F"/>
    <w:rsid w:val="00CE5858"/>
    <w:rsid w:val="00CF1CB1"/>
    <w:rsid w:val="00CF2C9B"/>
    <w:rsid w:val="00CF7F42"/>
    <w:rsid w:val="00D01A90"/>
    <w:rsid w:val="00D0259B"/>
    <w:rsid w:val="00D16FCA"/>
    <w:rsid w:val="00D24698"/>
    <w:rsid w:val="00D25293"/>
    <w:rsid w:val="00D2656A"/>
    <w:rsid w:val="00D3041E"/>
    <w:rsid w:val="00D36E32"/>
    <w:rsid w:val="00D43BF1"/>
    <w:rsid w:val="00D564C3"/>
    <w:rsid w:val="00D70C81"/>
    <w:rsid w:val="00D808C5"/>
    <w:rsid w:val="00D80FD1"/>
    <w:rsid w:val="00D869AD"/>
    <w:rsid w:val="00DA305C"/>
    <w:rsid w:val="00DA4A61"/>
    <w:rsid w:val="00DB40C9"/>
    <w:rsid w:val="00DC0CF5"/>
    <w:rsid w:val="00DD5334"/>
    <w:rsid w:val="00DE137D"/>
    <w:rsid w:val="00DE62E4"/>
    <w:rsid w:val="00DE6A57"/>
    <w:rsid w:val="00DF6E32"/>
    <w:rsid w:val="00E27D56"/>
    <w:rsid w:val="00E345EE"/>
    <w:rsid w:val="00E40B2B"/>
    <w:rsid w:val="00E41BD3"/>
    <w:rsid w:val="00E43C55"/>
    <w:rsid w:val="00E43EEB"/>
    <w:rsid w:val="00E50205"/>
    <w:rsid w:val="00E51E7B"/>
    <w:rsid w:val="00E52AC6"/>
    <w:rsid w:val="00E5331C"/>
    <w:rsid w:val="00E63A6C"/>
    <w:rsid w:val="00E64C19"/>
    <w:rsid w:val="00E64D5C"/>
    <w:rsid w:val="00E74DEB"/>
    <w:rsid w:val="00E761A2"/>
    <w:rsid w:val="00EB1B27"/>
    <w:rsid w:val="00EC6935"/>
    <w:rsid w:val="00ED1AA8"/>
    <w:rsid w:val="00ED5B8E"/>
    <w:rsid w:val="00ED6879"/>
    <w:rsid w:val="00EE0B99"/>
    <w:rsid w:val="00EE0E58"/>
    <w:rsid w:val="00EE1865"/>
    <w:rsid w:val="00EE4B79"/>
    <w:rsid w:val="00EE4FA6"/>
    <w:rsid w:val="00EF18A0"/>
    <w:rsid w:val="00EF2CB8"/>
    <w:rsid w:val="00F13926"/>
    <w:rsid w:val="00F27A87"/>
    <w:rsid w:val="00F30546"/>
    <w:rsid w:val="00F31630"/>
    <w:rsid w:val="00F37FFE"/>
    <w:rsid w:val="00F40B02"/>
    <w:rsid w:val="00F4685A"/>
    <w:rsid w:val="00F57ED1"/>
    <w:rsid w:val="00F60C24"/>
    <w:rsid w:val="00F61C64"/>
    <w:rsid w:val="00F64585"/>
    <w:rsid w:val="00F6513D"/>
    <w:rsid w:val="00F71C9E"/>
    <w:rsid w:val="00F73E8D"/>
    <w:rsid w:val="00F859A7"/>
    <w:rsid w:val="00F87325"/>
    <w:rsid w:val="00F9680B"/>
    <w:rsid w:val="00FB54B3"/>
    <w:rsid w:val="00FC6945"/>
    <w:rsid w:val="00FC7E75"/>
    <w:rsid w:val="00FD33F6"/>
    <w:rsid w:val="00FD6877"/>
    <w:rsid w:val="00FE1CE3"/>
    <w:rsid w:val="00FF0413"/>
    <w:rsid w:val="00FF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4071B8"/>
  <w15:chartTrackingRefBased/>
  <w15:docId w15:val="{87A62BC7-3EA9-435C-8F44-0C74D3DF8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40B2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869BF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58B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0E0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table" w:styleId="TableGrid">
    <w:name w:val="Table Grid"/>
    <w:basedOn w:val="TableNormal"/>
    <w:uiPriority w:val="39"/>
    <w:rsid w:val="00FD6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CF1CB1"/>
  </w:style>
  <w:style w:type="paragraph" w:styleId="Revision">
    <w:name w:val="Revision"/>
    <w:hidden/>
    <w:uiPriority w:val="99"/>
    <w:semiHidden/>
    <w:rsid w:val="001B2A8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B2A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2A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2A8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2A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2A82"/>
    <w:rPr>
      <w:b/>
      <w:bCs/>
      <w:sz w:val="20"/>
      <w:szCs w:val="20"/>
    </w:rPr>
  </w:style>
  <w:style w:type="paragraph" w:customStyle="1" w:styleId="dx-doi">
    <w:name w:val="dx-doi"/>
    <w:basedOn w:val="Normal"/>
    <w:rsid w:val="00137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6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80/09669582.2021.1990305" TargetMode="External"/><Relationship Id="rId13" Type="http://schemas.openxmlformats.org/officeDocument/2006/relationships/hyperlink" Target="https://doi.org/10.1108/JTF-01-2022-001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doi.org/10.1080/14616688.2020.1759134" TargetMode="External"/><Relationship Id="rId12" Type="http://schemas.openxmlformats.org/officeDocument/2006/relationships/hyperlink" Target="https://doi.org/10.1080/14616688.2020.1765016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doi.org/10.1080/24721735.2018.143855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*kardavies@cardiffmet.ac.uk" TargetMode="External"/><Relationship Id="rId11" Type="http://schemas.openxmlformats.org/officeDocument/2006/relationships/hyperlink" Target="https://www.bridgend.gov.uk/business/business-zone/visitor-economy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edium.com/activate-the-future/regenerative-tourism-the-natural-maturation-of-sustainability-26e6507d0fcb" TargetMode="External"/><Relationship Id="rId10" Type="http://schemas.openxmlformats.org/officeDocument/2006/relationships/hyperlink" Target="https://democratic.bridgend.gov.uk/documents/s26712/Appendix%201%20Bridgend%20County%20Economic%20Strategy%20FINAL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1080/14616688.2022.2044376" TargetMode="External"/><Relationship Id="rId14" Type="http://schemas.openxmlformats.org/officeDocument/2006/relationships/hyperlink" Target="https://doi.org/10.1080/14616688.2019.164745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E77CE-5C3B-4FC3-A48A-E29E44B12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1828</Words>
  <Characters>10423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Cardiff Metropolitan University</Company>
  <LinksUpToDate>false</LinksUpToDate>
  <CharactersWithSpaces>12227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Davies, Karen</dc:creator>
  <cp:keywords/>
  <dc:description/>
  <cp:lastModifiedBy>Davies, Karen</cp:lastModifiedBy>
  <cp:revision>2</cp:revision>
  <dcterms:created xsi:type="dcterms:W3CDTF">2024-01-15T13:38:00Z</dcterms:created>
  <dcterms:modified xsi:type="dcterms:W3CDTF">2024-01-15T13:38:00Z</dcterms:modified>
</cp:coreProperties>
</file>