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F8B23" w14:textId="77777777" w:rsidR="004F7BEE" w:rsidRPr="001415ED" w:rsidRDefault="004F7BEE" w:rsidP="004F7BEE">
      <w:pPr>
        <w:spacing w:after="200" w:line="276" w:lineRule="auto"/>
        <w:jc w:val="center"/>
        <w:rPr>
          <w:rFonts w:eastAsia="MS Gothic" w:cstheme="minorHAnsi"/>
          <w:b/>
          <w:bCs/>
          <w:lang w:val="en-US"/>
        </w:rPr>
      </w:pPr>
      <w:r w:rsidRPr="001415ED">
        <w:rPr>
          <w:rFonts w:eastAsia="MS Gothic" w:cstheme="minorHAnsi"/>
          <w:b/>
          <w:bCs/>
          <w:lang w:val="en-US"/>
        </w:rPr>
        <w:t>Long-run Causality and Short-term Adjustments: The Role of Financial Development and Renewable Energy in Reducing GHG Emissions in Africa</w:t>
      </w:r>
    </w:p>
    <w:p w14:paraId="66D4043E" w14:textId="77777777" w:rsidR="004F7BEE" w:rsidRPr="001415ED" w:rsidRDefault="004F7BEE" w:rsidP="004F7BEE">
      <w:pPr>
        <w:spacing w:after="200" w:line="276" w:lineRule="auto"/>
        <w:jc w:val="center"/>
        <w:rPr>
          <w:rFonts w:eastAsia="MS Gothic" w:cstheme="minorHAnsi"/>
          <w:b/>
          <w:bCs/>
          <w:lang w:val="en-US"/>
        </w:rPr>
      </w:pPr>
    </w:p>
    <w:p w14:paraId="6EB3B9B4" w14:textId="77777777" w:rsidR="004F7BEE" w:rsidRPr="001415ED" w:rsidRDefault="004F7BEE" w:rsidP="004F7BEE">
      <w:pPr>
        <w:spacing w:after="200" w:line="276" w:lineRule="auto"/>
        <w:jc w:val="center"/>
        <w:rPr>
          <w:rFonts w:eastAsia="MS Gothic" w:cstheme="minorHAnsi"/>
          <w:b/>
          <w:bCs/>
          <w:lang w:val="en-US"/>
        </w:rPr>
      </w:pPr>
    </w:p>
    <w:p w14:paraId="7FE81FE7" w14:textId="77777777" w:rsidR="004F7BEE" w:rsidRPr="001415ED" w:rsidRDefault="004F7BEE" w:rsidP="004F7BEE">
      <w:pPr>
        <w:spacing w:after="200" w:line="276" w:lineRule="auto"/>
        <w:jc w:val="center"/>
        <w:rPr>
          <w:rFonts w:eastAsia="MS Gothic" w:cstheme="minorHAnsi"/>
          <w:b/>
          <w:bCs/>
          <w:lang w:val="en-US"/>
        </w:rPr>
      </w:pPr>
    </w:p>
    <w:p w14:paraId="071CE851" w14:textId="77777777" w:rsidR="004F7BEE" w:rsidRPr="001415ED" w:rsidRDefault="004F7BEE" w:rsidP="004F7BEE">
      <w:pPr>
        <w:spacing w:after="200" w:line="276" w:lineRule="auto"/>
        <w:jc w:val="center"/>
        <w:rPr>
          <w:rFonts w:eastAsia="MS Gothic" w:cstheme="minorHAnsi"/>
          <w:b/>
          <w:bCs/>
          <w:lang w:val="en-US"/>
        </w:rPr>
      </w:pPr>
    </w:p>
    <w:p w14:paraId="7B092797" w14:textId="77777777" w:rsidR="004F7BEE" w:rsidRPr="001415ED" w:rsidRDefault="004F7BEE" w:rsidP="004F7BEE">
      <w:pPr>
        <w:spacing w:after="200" w:line="276" w:lineRule="auto"/>
        <w:jc w:val="center"/>
        <w:rPr>
          <w:rFonts w:eastAsia="MS Mincho" w:cstheme="minorHAnsi"/>
          <w:lang w:val="en-US"/>
        </w:rPr>
      </w:pPr>
    </w:p>
    <w:p w14:paraId="2940C697" w14:textId="6B4579EF" w:rsidR="004F7BEE" w:rsidRPr="001415ED" w:rsidRDefault="004F7BEE" w:rsidP="004F7BEE">
      <w:pPr>
        <w:spacing w:after="200" w:line="276" w:lineRule="auto"/>
        <w:jc w:val="center"/>
        <w:rPr>
          <w:rFonts w:eastAsia="MS Mincho" w:cstheme="minorHAnsi"/>
          <w:vertAlign w:val="superscript"/>
          <w:lang w:val="en-US"/>
        </w:rPr>
      </w:pPr>
      <w:r w:rsidRPr="001415ED">
        <w:rPr>
          <w:rFonts w:eastAsia="MS Mincho" w:cstheme="minorHAnsi"/>
          <w:lang w:val="en-US"/>
        </w:rPr>
        <w:t>Nasir Aminu</w:t>
      </w:r>
      <w:r w:rsidRPr="001415ED">
        <w:rPr>
          <w:rStyle w:val="FootnoteReference"/>
          <w:rFonts w:eastAsia="MS Mincho" w:cstheme="minorHAnsi"/>
          <w:lang w:val="en-US"/>
        </w:rPr>
        <w:footnoteReference w:id="1"/>
      </w:r>
      <w:r w:rsidRPr="001415ED">
        <w:rPr>
          <w:rFonts w:eastAsia="MS Mincho" w:cstheme="minorHAnsi"/>
          <w:lang w:val="en-US"/>
        </w:rPr>
        <w:t>, Nick Clifton,</w:t>
      </w:r>
      <w:r w:rsidRPr="001415ED">
        <w:rPr>
          <w:rFonts w:eastAsia="MS Mincho" w:cstheme="minorHAnsi"/>
          <w:vertAlign w:val="superscript"/>
          <w:lang w:val="en-US"/>
        </w:rPr>
        <w:t xml:space="preserve"> </w:t>
      </w:r>
      <w:r w:rsidRPr="001415ED">
        <w:rPr>
          <w:rFonts w:eastAsia="MS Mincho" w:cstheme="minorHAnsi"/>
          <w:lang w:val="en-US"/>
        </w:rPr>
        <w:t>Yi Wang</w:t>
      </w:r>
      <w:r w:rsidR="006C14BF" w:rsidRPr="001415ED">
        <w:rPr>
          <w:rFonts w:eastAsia="MS Mincho" w:cstheme="minorHAnsi"/>
          <w:lang w:val="en-US"/>
        </w:rPr>
        <w:t xml:space="preserve"> </w:t>
      </w:r>
      <w:r w:rsidRPr="001415ED">
        <w:rPr>
          <w:rFonts w:eastAsia="MS Mincho" w:cstheme="minorHAnsi"/>
          <w:lang w:val="en-US"/>
        </w:rPr>
        <w:t>&amp;</w:t>
      </w:r>
      <w:r w:rsidRPr="001415ED">
        <w:rPr>
          <w:rFonts w:eastAsia="MS Mincho" w:cstheme="minorHAnsi"/>
          <w:vertAlign w:val="superscript"/>
          <w:lang w:val="en-US"/>
        </w:rPr>
        <w:t xml:space="preserve"> </w:t>
      </w:r>
      <w:proofErr w:type="spellStart"/>
      <w:r w:rsidRPr="001415ED">
        <w:rPr>
          <w:rFonts w:eastAsia="MS Mincho" w:cstheme="minorHAnsi"/>
          <w:lang w:val="en-US"/>
        </w:rPr>
        <w:t>Mahe</w:t>
      </w:r>
      <w:proofErr w:type="spellEnd"/>
      <w:r w:rsidRPr="001415ED">
        <w:rPr>
          <w:rFonts w:eastAsia="MS Mincho" w:cstheme="minorHAnsi"/>
          <w:lang w:val="en-US"/>
        </w:rPr>
        <w:t xml:space="preserve"> Shehu</w:t>
      </w:r>
    </w:p>
    <w:p w14:paraId="418B2F5B" w14:textId="77777777" w:rsidR="004F7BEE" w:rsidRPr="001415ED" w:rsidRDefault="004F7BEE">
      <w:pPr>
        <w:spacing w:after="0" w:line="240" w:lineRule="auto"/>
        <w:rPr>
          <w:rFonts w:eastAsia="Times New Roman" w:cstheme="minorHAnsi"/>
          <w:color w:val="000000"/>
          <w:lang w:val="en-US"/>
        </w:rPr>
      </w:pPr>
      <w:r w:rsidRPr="001415ED">
        <w:rPr>
          <w:rFonts w:eastAsia="Times New Roman" w:cstheme="minorHAnsi"/>
          <w:color w:val="000000"/>
          <w:lang w:val="en-US"/>
        </w:rPr>
        <w:br w:type="page"/>
      </w:r>
    </w:p>
    <w:p w14:paraId="6A3E1BF8" w14:textId="65C1F58D" w:rsidR="009C4A4D" w:rsidRPr="001415ED" w:rsidRDefault="00D71550" w:rsidP="00490620">
      <w:pPr>
        <w:spacing w:after="0" w:line="360" w:lineRule="auto"/>
        <w:jc w:val="both"/>
        <w:rPr>
          <w:rFonts w:eastAsia="Times New Roman" w:cstheme="minorHAnsi"/>
          <w:b/>
          <w:bCs/>
          <w:color w:val="000000"/>
          <w:lang w:val="en-US"/>
        </w:rPr>
      </w:pPr>
      <w:r>
        <w:rPr>
          <w:rFonts w:eastAsia="Times New Roman" w:cstheme="minorHAnsi"/>
          <w:b/>
          <w:bCs/>
          <w:color w:val="000000"/>
          <w:lang w:val="en-US"/>
        </w:rPr>
        <w:lastRenderedPageBreak/>
        <w:t>Introduction and Background</w:t>
      </w:r>
    </w:p>
    <w:p w14:paraId="6B2BBD2F" w14:textId="110E3CC5" w:rsidR="006C14BF" w:rsidRPr="001415ED" w:rsidRDefault="007106EF" w:rsidP="007106EF">
      <w:pPr>
        <w:spacing w:line="360" w:lineRule="auto"/>
        <w:jc w:val="both"/>
        <w:rPr>
          <w:rFonts w:eastAsia="Times New Roman" w:cstheme="minorHAnsi"/>
          <w:color w:val="000000"/>
          <w:lang w:val="en-US"/>
        </w:rPr>
      </w:pPr>
      <w:r w:rsidRPr="001415ED">
        <w:rPr>
          <w:rFonts w:eastAsia="Times New Roman" w:cstheme="minorHAnsi"/>
          <w:color w:val="000000"/>
          <w:lang w:val="en-US"/>
        </w:rPr>
        <w:t xml:space="preserve">The African region combines emerging and low-income economies, each with distinct economic growth and development paths. A significant characteristic of these economies is their dependence on Foreign Direct Investment (FDI) because the natural resources in the region attract investment. This makes the region dependent on advanced and rich countries for investment. Production in the region predominantly relies on inefficient and non-renewable energy sources, obstructing the achievement of SDG 7’s clean energy goals. This energy inefficiency not only diminishes industrial competitiveness but also curtails job creation. Inconsistent energy infrastructure and a lack of sustainable practices deter FDI, as investors often </w:t>
      </w:r>
      <w:proofErr w:type="spellStart"/>
      <w:r w:rsidRPr="001415ED">
        <w:rPr>
          <w:rFonts w:eastAsia="Times New Roman" w:cstheme="minorHAnsi"/>
          <w:color w:val="000000"/>
          <w:lang w:val="en-US"/>
        </w:rPr>
        <w:t>prioritise</w:t>
      </w:r>
      <w:proofErr w:type="spellEnd"/>
      <w:r w:rsidRPr="001415ED">
        <w:rPr>
          <w:rFonts w:eastAsia="Times New Roman" w:cstheme="minorHAnsi"/>
          <w:color w:val="000000"/>
          <w:lang w:val="en-US"/>
        </w:rPr>
        <w:t xml:space="preserve"> stable energy prices and sustainable operations. Despite the emphasis on SDG 12’s sustainable consumption and production, the region’s industries are slow in adopting these practices, affecting global competitiveness and investor appeal. Seeing the climate change threats, the region’s continued use of carbon-intensive energy for industrial operations presses the need for SDG 13—Climate Action. A unified policy focusing on energy efficiency, sustainable industrial growth, and a structured framework for FDI can align the region’s development with global sustainability objectives. </w:t>
      </w:r>
    </w:p>
    <w:p w14:paraId="30D7AEFD" w14:textId="39D63E95" w:rsidR="00D16FEE" w:rsidRPr="001415ED" w:rsidRDefault="007106EF" w:rsidP="007106EF">
      <w:pPr>
        <w:spacing w:line="360" w:lineRule="auto"/>
        <w:jc w:val="both"/>
        <w:rPr>
          <w:rFonts w:eastAsia="Times New Roman" w:cstheme="minorHAnsi"/>
          <w:color w:val="000000"/>
          <w:lang w:val="en-US"/>
        </w:rPr>
      </w:pPr>
      <w:proofErr w:type="gramStart"/>
      <w:r w:rsidRPr="001415ED">
        <w:rPr>
          <w:rFonts w:eastAsia="Times New Roman" w:cstheme="minorHAnsi"/>
          <w:color w:val="000000"/>
          <w:lang w:val="en-US"/>
        </w:rPr>
        <w:t>In light of</w:t>
      </w:r>
      <w:proofErr w:type="gramEnd"/>
      <w:r w:rsidRPr="001415ED">
        <w:rPr>
          <w:rFonts w:eastAsia="Times New Roman" w:cstheme="minorHAnsi"/>
          <w:color w:val="000000"/>
          <w:lang w:val="en-US"/>
        </w:rPr>
        <w:t xml:space="preserve"> the above, </w:t>
      </w:r>
      <w:r w:rsidR="00E1017C" w:rsidRPr="001415ED">
        <w:rPr>
          <w:rFonts w:eastAsia="Times New Roman" w:cstheme="minorHAnsi"/>
          <w:color w:val="000000"/>
          <w:lang w:val="en-US"/>
        </w:rPr>
        <w:t>we</w:t>
      </w:r>
      <w:r w:rsidRPr="001415ED">
        <w:rPr>
          <w:rFonts w:eastAsia="Times New Roman" w:cstheme="minorHAnsi"/>
          <w:color w:val="000000"/>
          <w:lang w:val="en-US"/>
        </w:rPr>
        <w:t xml:space="preserve"> aim to provide a comprehensive empirical analysis of the long-term and short-term causality between key market-induced factors and GHG emissions, thereby informing more effective </w:t>
      </w:r>
      <w:r w:rsidR="00CA678A" w:rsidRPr="001415ED">
        <w:rPr>
          <w:rFonts w:eastAsia="Times New Roman" w:cstheme="minorHAnsi"/>
          <w:color w:val="000000"/>
          <w:lang w:val="en-US"/>
        </w:rPr>
        <w:t>policymaking</w:t>
      </w:r>
      <w:r w:rsidRPr="001415ED">
        <w:rPr>
          <w:rFonts w:eastAsia="Times New Roman" w:cstheme="minorHAnsi"/>
          <w:color w:val="000000"/>
          <w:lang w:val="en-US"/>
        </w:rPr>
        <w:t xml:space="preserve"> in sustainable development for African economies. </w:t>
      </w:r>
    </w:p>
    <w:p w14:paraId="79D576C4" w14:textId="6DEFDE40" w:rsidR="007D2FEF" w:rsidRPr="001415ED" w:rsidRDefault="00D71550" w:rsidP="00683F82">
      <w:pPr>
        <w:spacing w:after="0" w:line="360" w:lineRule="auto"/>
        <w:jc w:val="both"/>
        <w:rPr>
          <w:rFonts w:eastAsia="Times New Roman" w:cstheme="minorHAnsi"/>
          <w:b/>
          <w:bCs/>
          <w:color w:val="000000"/>
          <w:lang w:val="en-US"/>
        </w:rPr>
      </w:pPr>
      <w:r>
        <w:rPr>
          <w:rFonts w:eastAsia="Times New Roman" w:cstheme="minorHAnsi"/>
          <w:b/>
          <w:bCs/>
          <w:color w:val="000000"/>
          <w:lang w:val="en-US"/>
        </w:rPr>
        <w:t>Research Approach</w:t>
      </w:r>
    </w:p>
    <w:p w14:paraId="2F917D57" w14:textId="0D3A388A" w:rsidR="00A50053" w:rsidRPr="001415ED" w:rsidRDefault="001B4386" w:rsidP="00A50053">
      <w:pPr>
        <w:spacing w:line="360" w:lineRule="auto"/>
        <w:jc w:val="both"/>
        <w:rPr>
          <w:rFonts w:cstheme="minorHAnsi"/>
        </w:rPr>
      </w:pPr>
      <w:r w:rsidRPr="001415ED">
        <w:rPr>
          <w:rFonts w:eastAsia="Times New Roman" w:cstheme="minorHAnsi"/>
          <w:color w:val="000000"/>
          <w:lang w:val="en-US"/>
        </w:rPr>
        <w:t xml:space="preserve">Our </w:t>
      </w:r>
      <w:r w:rsidR="00932946" w:rsidRPr="001415ED">
        <w:rPr>
          <w:rFonts w:eastAsia="Times New Roman" w:cstheme="minorHAnsi"/>
          <w:color w:val="000000"/>
          <w:lang w:val="en-US"/>
        </w:rPr>
        <w:t xml:space="preserve">twenty-five </w:t>
      </w:r>
      <w:r w:rsidR="00F20930" w:rsidRPr="001415ED">
        <w:rPr>
          <w:rFonts w:eastAsia="Times New Roman" w:cstheme="minorHAnsi"/>
          <w:color w:val="000000"/>
          <w:lang w:val="en-US"/>
        </w:rPr>
        <w:t xml:space="preserve">sampled economies were classified into four categories—high, moderate, </w:t>
      </w:r>
      <w:proofErr w:type="gramStart"/>
      <w:r w:rsidR="00F20930" w:rsidRPr="001415ED">
        <w:rPr>
          <w:rFonts w:eastAsia="Times New Roman" w:cstheme="minorHAnsi"/>
          <w:color w:val="000000"/>
          <w:lang w:val="en-US"/>
        </w:rPr>
        <w:t>emerging</w:t>
      </w:r>
      <w:proofErr w:type="gramEnd"/>
      <w:r w:rsidR="00F20930" w:rsidRPr="001415ED">
        <w:rPr>
          <w:rFonts w:eastAsia="Times New Roman" w:cstheme="minorHAnsi"/>
          <w:color w:val="000000"/>
          <w:lang w:val="en-US"/>
        </w:rPr>
        <w:t xml:space="preserve"> and lower—based on their industrial output. The share of </w:t>
      </w:r>
      <w:r w:rsidR="00F20930" w:rsidRPr="001415ED">
        <w:rPr>
          <w:rFonts w:cstheme="minorHAnsi"/>
        </w:rPr>
        <w:t xml:space="preserve">energy usage from hydropower and their national income in the classification provided further insight into how market-induced factors impact industrial growth in the region. </w:t>
      </w:r>
      <w:r w:rsidR="00A50053" w:rsidRPr="001415ED">
        <w:rPr>
          <w:rFonts w:cstheme="minorHAnsi"/>
        </w:rPr>
        <w:t xml:space="preserve">Using </w:t>
      </w:r>
      <w:r w:rsidR="00ED09C3" w:rsidRPr="001415ED">
        <w:rPr>
          <w:rFonts w:cstheme="minorHAnsi"/>
        </w:rPr>
        <w:t xml:space="preserve">the </w:t>
      </w:r>
      <w:r w:rsidR="00A50053" w:rsidRPr="001415ED">
        <w:rPr>
          <w:rFonts w:cstheme="minorHAnsi"/>
        </w:rPr>
        <w:t>four categories</w:t>
      </w:r>
      <w:r w:rsidR="0006049B" w:rsidRPr="001415ED">
        <w:rPr>
          <w:rFonts w:cstheme="minorHAnsi"/>
        </w:rPr>
        <w:t xml:space="preserve">, </w:t>
      </w:r>
      <w:r w:rsidR="00A50053" w:rsidRPr="001415ED">
        <w:rPr>
          <w:rFonts w:cstheme="minorHAnsi"/>
        </w:rPr>
        <w:t xml:space="preserve">we categorised the sampled economies based on their industrial output using the share energy usage from hydropower and their national income to understand how the market-induced factors impact their industrial growth. </w:t>
      </w:r>
    </w:p>
    <w:p w14:paraId="2F2FF487" w14:textId="3C5831B3" w:rsidR="005C3DA9" w:rsidRPr="001415ED" w:rsidRDefault="005D2F05" w:rsidP="005D2F05">
      <w:pPr>
        <w:spacing w:line="360" w:lineRule="auto"/>
        <w:jc w:val="both"/>
        <w:rPr>
          <w:rFonts w:cstheme="minorHAnsi"/>
          <w:bCs/>
        </w:rPr>
      </w:pPr>
      <w:r w:rsidRPr="001415ED">
        <w:rPr>
          <w:rFonts w:cstheme="minorHAnsi"/>
          <w:bCs/>
        </w:rPr>
        <w:t xml:space="preserve">We </w:t>
      </w:r>
      <w:r w:rsidR="00E21446" w:rsidRPr="001415ED">
        <w:rPr>
          <w:rFonts w:cstheme="minorHAnsi"/>
          <w:bCs/>
        </w:rPr>
        <w:t>employed a</w:t>
      </w:r>
      <w:r w:rsidRPr="001415ED">
        <w:rPr>
          <w:rFonts w:cstheme="minorHAnsi"/>
          <w:bCs/>
        </w:rPr>
        <w:t xml:space="preserve"> Panel (vector error correction model) VECM to assess long-term stability and short-term shifts in GHG emissions, with financial development and renewable energy consumption as the cointegrating vectors. Using the comprehensive methodological approach of VECM, we analysed the cyclic adjustments between financial development, renewable energy, and greenhouse gas emissions in these economies. In </w:t>
      </w:r>
      <w:r w:rsidR="007544FB" w:rsidRPr="001415ED">
        <w:rPr>
          <w:rFonts w:cstheme="minorHAnsi"/>
          <w:bCs/>
        </w:rPr>
        <w:t xml:space="preserve">our </w:t>
      </w:r>
      <w:r w:rsidRPr="001415ED">
        <w:rPr>
          <w:rFonts w:cstheme="minorHAnsi"/>
          <w:bCs/>
        </w:rPr>
        <w:t xml:space="preserve">applied </w:t>
      </w:r>
      <w:r w:rsidR="007544FB" w:rsidRPr="001415ED">
        <w:rPr>
          <w:rFonts w:cstheme="minorHAnsi"/>
          <w:bCs/>
        </w:rPr>
        <w:t>study</w:t>
      </w:r>
      <w:r w:rsidRPr="001415ED">
        <w:rPr>
          <w:rFonts w:cstheme="minorHAnsi"/>
          <w:bCs/>
        </w:rPr>
        <w:t xml:space="preserve">, </w:t>
      </w:r>
      <w:r w:rsidR="003503A8" w:rsidRPr="001415ED">
        <w:rPr>
          <w:rFonts w:cstheme="minorHAnsi"/>
          <w:bCs/>
        </w:rPr>
        <w:t xml:space="preserve">the </w:t>
      </w:r>
      <w:r w:rsidRPr="001415ED">
        <w:rPr>
          <w:rFonts w:cstheme="minorHAnsi"/>
          <w:bCs/>
        </w:rPr>
        <w:t xml:space="preserve">VECM </w:t>
      </w:r>
      <w:r w:rsidR="003503A8" w:rsidRPr="001415ED">
        <w:rPr>
          <w:rFonts w:cstheme="minorHAnsi"/>
          <w:bCs/>
        </w:rPr>
        <w:t>approach</w:t>
      </w:r>
      <w:r w:rsidRPr="001415ED">
        <w:rPr>
          <w:rFonts w:cstheme="minorHAnsi"/>
          <w:bCs/>
        </w:rPr>
        <w:t xml:space="preserve"> </w:t>
      </w:r>
      <w:r w:rsidR="003503A8" w:rsidRPr="001415ED">
        <w:rPr>
          <w:rFonts w:cstheme="minorHAnsi"/>
          <w:bCs/>
        </w:rPr>
        <w:t xml:space="preserve">was </w:t>
      </w:r>
      <w:r w:rsidRPr="001415ED">
        <w:rPr>
          <w:rFonts w:cstheme="minorHAnsi"/>
          <w:bCs/>
        </w:rPr>
        <w:t xml:space="preserve">conducted by the following steps: (1) Stationarity test: all the series must be stationary at </w:t>
      </w:r>
      <w:proofErr w:type="gramStart"/>
      <w:r w:rsidRPr="001415ED">
        <w:rPr>
          <w:rFonts w:cstheme="minorHAnsi"/>
          <w:bCs/>
        </w:rPr>
        <w:t>I(</w:t>
      </w:r>
      <w:proofErr w:type="gramEnd"/>
      <w:r w:rsidRPr="001415ED">
        <w:rPr>
          <w:rFonts w:cstheme="minorHAnsi"/>
          <w:bCs/>
        </w:rPr>
        <w:t>1). (2) Determine the optimal lag length for the model. (3) Cointegration test showing the endogenous variables are cointegrated. (4) Estimate VECM (</w:t>
      </w:r>
      <w:proofErr w:type="spellStart"/>
      <w:r w:rsidRPr="001415ED">
        <w:rPr>
          <w:rFonts w:cstheme="minorHAnsi"/>
          <w:bCs/>
        </w:rPr>
        <w:t>Athanasopoulos</w:t>
      </w:r>
      <w:proofErr w:type="spellEnd"/>
      <w:r w:rsidRPr="001415ED">
        <w:rPr>
          <w:rFonts w:cstheme="minorHAnsi"/>
          <w:bCs/>
        </w:rPr>
        <w:t xml:space="preserve"> et al., 2010</w:t>
      </w:r>
      <w:proofErr w:type="gramStart"/>
      <w:r w:rsidRPr="001415ED">
        <w:rPr>
          <w:rFonts w:cstheme="minorHAnsi"/>
          <w:bCs/>
        </w:rPr>
        <w:t>).</w:t>
      </w:r>
      <w:r w:rsidR="004F7BEE" w:rsidRPr="001415ED">
        <w:rPr>
          <w:rFonts w:cstheme="minorHAnsi"/>
          <w:bCs/>
        </w:rPr>
        <w:t>We</w:t>
      </w:r>
      <w:proofErr w:type="gramEnd"/>
      <w:r w:rsidR="004F7BEE" w:rsidRPr="001415ED">
        <w:rPr>
          <w:rFonts w:cstheme="minorHAnsi"/>
          <w:bCs/>
        </w:rPr>
        <w:t xml:space="preserve"> found evidence of long-run causality between financial </w:t>
      </w:r>
      <w:r w:rsidR="004F7BEE" w:rsidRPr="001415ED">
        <w:rPr>
          <w:rFonts w:cstheme="minorHAnsi"/>
          <w:bCs/>
        </w:rPr>
        <w:lastRenderedPageBreak/>
        <w:t xml:space="preserve">development, renewable energy, and GHG emissions, indicating that improvements in these sectors could be instrumental for emissions reduction in the long term. </w:t>
      </w:r>
    </w:p>
    <w:p w14:paraId="7F2C9DBB" w14:textId="192260E1" w:rsidR="00CA3E3D" w:rsidRPr="001415ED" w:rsidRDefault="00D71550" w:rsidP="00490620">
      <w:pPr>
        <w:spacing w:after="0" w:line="360" w:lineRule="auto"/>
        <w:jc w:val="both"/>
        <w:rPr>
          <w:rFonts w:cstheme="minorHAnsi"/>
          <w:b/>
        </w:rPr>
      </w:pPr>
      <w:r>
        <w:rPr>
          <w:rFonts w:cstheme="minorHAnsi"/>
          <w:b/>
        </w:rPr>
        <w:t>Discussions</w:t>
      </w:r>
    </w:p>
    <w:p w14:paraId="09916031" w14:textId="29DF8636" w:rsidR="00BD160B" w:rsidRPr="001415ED" w:rsidRDefault="00BB58EF" w:rsidP="005D2F05">
      <w:pPr>
        <w:spacing w:line="360" w:lineRule="auto"/>
        <w:jc w:val="both"/>
        <w:rPr>
          <w:rFonts w:cstheme="minorHAnsi"/>
          <w:bCs/>
        </w:rPr>
      </w:pPr>
      <w:r w:rsidRPr="001415ED">
        <w:rPr>
          <w:rFonts w:cstheme="minorHAnsi"/>
          <w:bCs/>
        </w:rPr>
        <w:t>Overall, t</w:t>
      </w:r>
      <w:r w:rsidR="002C4A90" w:rsidRPr="001415ED">
        <w:rPr>
          <w:rFonts w:eastAsia="Times New Roman" w:cstheme="minorHAnsi"/>
          <w:color w:val="000000"/>
          <w:lang w:val="en-US"/>
        </w:rPr>
        <w:t xml:space="preserve">he study reveals a robust long-run relationship, with financial development and renewable energy acting as </w:t>
      </w:r>
      <w:proofErr w:type="spellStart"/>
      <w:r w:rsidR="002C4A90" w:rsidRPr="001415ED">
        <w:rPr>
          <w:rFonts w:eastAsia="Times New Roman" w:cstheme="minorHAnsi"/>
          <w:color w:val="000000"/>
          <w:lang w:val="en-US"/>
        </w:rPr>
        <w:t>stabilising</w:t>
      </w:r>
      <w:proofErr w:type="spellEnd"/>
      <w:r w:rsidR="002C4A90" w:rsidRPr="001415ED">
        <w:rPr>
          <w:rFonts w:eastAsia="Times New Roman" w:cstheme="minorHAnsi"/>
          <w:color w:val="000000"/>
          <w:lang w:val="en-US"/>
        </w:rPr>
        <w:t xml:space="preserve"> forces in GHG emissions. </w:t>
      </w:r>
      <w:r w:rsidR="004F7BEE" w:rsidRPr="001415ED">
        <w:rPr>
          <w:rFonts w:cstheme="minorHAnsi"/>
          <w:bCs/>
        </w:rPr>
        <w:t xml:space="preserve">Conversely, our findings show a </w:t>
      </w:r>
      <w:r w:rsidR="007A02BF" w:rsidRPr="001415ED">
        <w:rPr>
          <w:rFonts w:cstheme="minorHAnsi"/>
          <w:bCs/>
        </w:rPr>
        <w:t>need for more</w:t>
      </w:r>
      <w:r w:rsidR="004F7BEE" w:rsidRPr="001415ED">
        <w:rPr>
          <w:rFonts w:cstheme="minorHAnsi"/>
          <w:bCs/>
        </w:rPr>
        <w:t xml:space="preserve"> short-run causality from these factors, suggesting that policy interventions may not yield immediate results but are essential for long-term sustainability. A distinct contribution was identifying sectoral factors, such as employment and industrial performance, significantly influencing emissions levels. </w:t>
      </w:r>
      <w:r w:rsidR="00BD160B" w:rsidRPr="001415ED">
        <w:rPr>
          <w:rFonts w:eastAsia="Times New Roman" w:cstheme="minorHAnsi"/>
          <w:color w:val="000000"/>
          <w:lang w:val="en-US"/>
        </w:rPr>
        <w:t>The result of our study brings a new perspective to the understanding of</w:t>
      </w:r>
      <w:r w:rsidR="00BD160B" w:rsidRPr="001415ED">
        <w:rPr>
          <w:rFonts w:cstheme="minorHAnsi"/>
          <w:bCs/>
        </w:rPr>
        <w:t xml:space="preserve"> the relationship between market-induced factors and GHG emissions in African economies.</w:t>
      </w:r>
    </w:p>
    <w:p w14:paraId="69DE6083" w14:textId="665B4454" w:rsidR="00CA3E3D" w:rsidRPr="001415ED" w:rsidRDefault="00CA3E3D" w:rsidP="00490620">
      <w:pPr>
        <w:spacing w:after="0" w:line="360" w:lineRule="auto"/>
        <w:jc w:val="both"/>
        <w:rPr>
          <w:rFonts w:cstheme="minorHAnsi"/>
          <w:b/>
        </w:rPr>
      </w:pPr>
      <w:r w:rsidRPr="001415ED">
        <w:rPr>
          <w:rFonts w:cstheme="minorHAnsi"/>
          <w:b/>
        </w:rPr>
        <w:t>Conclusion</w:t>
      </w:r>
      <w:r w:rsidR="00490620">
        <w:rPr>
          <w:rFonts w:cstheme="minorHAnsi"/>
          <w:b/>
        </w:rPr>
        <w:t>s</w:t>
      </w:r>
    </w:p>
    <w:p w14:paraId="3E8436F7" w14:textId="202295ED" w:rsidR="004F7BEE" w:rsidRPr="001415ED" w:rsidRDefault="00E34710" w:rsidP="004F7BEE">
      <w:pPr>
        <w:spacing w:line="360" w:lineRule="auto"/>
        <w:jc w:val="both"/>
      </w:pPr>
      <w:r w:rsidRPr="001415ED">
        <w:rPr>
          <w:rFonts w:cstheme="minorHAnsi"/>
          <w:bCs/>
        </w:rPr>
        <w:t xml:space="preserve">The </w:t>
      </w:r>
      <w:r w:rsidR="004F7BEE" w:rsidRPr="001415ED">
        <w:rPr>
          <w:rFonts w:cstheme="minorHAnsi"/>
          <w:bCs/>
        </w:rPr>
        <w:t xml:space="preserve">research </w:t>
      </w:r>
      <w:r w:rsidR="00280503" w:rsidRPr="001415ED">
        <w:rPr>
          <w:rFonts w:cstheme="minorHAnsi"/>
          <w:bCs/>
        </w:rPr>
        <w:t xml:space="preserve">also </w:t>
      </w:r>
      <w:r w:rsidR="004F7BEE" w:rsidRPr="001415ED">
        <w:rPr>
          <w:rFonts w:cstheme="minorHAnsi"/>
          <w:bCs/>
        </w:rPr>
        <w:t>offers valuable policy insights tailored to countries with varying degrees of industrial output, filling an existing gap in the literature concerning the African context. The policies address each economy’s challenges with the potential of balancing their growth strategies with environmental consequences in view. Countries with high industrial output would benefit from advanced policy instruments such as carbon pricing and green finance, while those with moderate output could make strides through tax incentives for renewable energy and stricter emissions monitoring. Emerging economies require a foundational regulatory structure and skill development in green technologies, whereas lower-output countries could benefit from grassroots initiatives and accessible credit facilities for green projects. These findings are instrumental for national and regional policymakers, helping them align development objectives more closely with environmental sustainability, like</w:t>
      </w:r>
      <w:r w:rsidR="004F7BEE" w:rsidRPr="001415ED">
        <w:t xml:space="preserve"> expanding and utilising hydropower.</w:t>
      </w:r>
    </w:p>
    <w:p w14:paraId="4CAAD018" w14:textId="77777777" w:rsidR="00BD1213" w:rsidRPr="001415ED" w:rsidRDefault="00BD1213" w:rsidP="004F7BEE">
      <w:pPr>
        <w:spacing w:line="360" w:lineRule="auto"/>
        <w:jc w:val="both"/>
        <w:rPr>
          <w:rFonts w:cstheme="minorHAnsi"/>
          <w:bCs/>
        </w:rPr>
      </w:pPr>
    </w:p>
    <w:p w14:paraId="2EB9D65A" w14:textId="7CF7EB16" w:rsidR="00072A91" w:rsidRPr="001415ED" w:rsidRDefault="00072A91">
      <w:pPr>
        <w:spacing w:after="0" w:line="240" w:lineRule="auto"/>
        <w:rPr>
          <w:rFonts w:eastAsia="Times New Roman" w:cstheme="minorHAnsi"/>
          <w:color w:val="000000"/>
          <w:lang w:val="en-US"/>
        </w:rPr>
      </w:pPr>
      <w:r w:rsidRPr="001415ED">
        <w:rPr>
          <w:rFonts w:eastAsia="Times New Roman" w:cstheme="minorHAnsi"/>
          <w:color w:val="000000"/>
          <w:lang w:val="en-US"/>
        </w:rPr>
        <w:br w:type="page"/>
      </w:r>
    </w:p>
    <w:p w14:paraId="56129E7C" w14:textId="77777777" w:rsidR="00072A91" w:rsidRPr="001415ED" w:rsidRDefault="00072A91" w:rsidP="00072A91">
      <w:pPr>
        <w:pStyle w:val="Bibliography"/>
        <w:rPr>
          <w:rFonts w:cstheme="minorHAnsi"/>
          <w:b/>
        </w:rPr>
      </w:pPr>
      <w:r w:rsidRPr="001415ED">
        <w:rPr>
          <w:rFonts w:cstheme="minorHAnsi"/>
          <w:b/>
        </w:rPr>
        <w:lastRenderedPageBreak/>
        <w:t>Reference</w:t>
      </w:r>
    </w:p>
    <w:p w14:paraId="2356D45D" w14:textId="77777777" w:rsidR="00072A91" w:rsidRPr="001415ED" w:rsidRDefault="00072A91" w:rsidP="00072A91">
      <w:pPr>
        <w:pStyle w:val="Bibliography"/>
        <w:spacing w:after="240" w:line="240" w:lineRule="auto"/>
        <w:rPr>
          <w:rFonts w:ascii="Calibri" w:hAnsi="Calibri" w:cs="Calibri"/>
        </w:rPr>
      </w:pPr>
      <w:r w:rsidRPr="001415ED">
        <w:rPr>
          <w:rFonts w:cstheme="minorHAnsi"/>
          <w:b/>
          <w:lang w:val="en-US"/>
        </w:rPr>
        <w:fldChar w:fldCharType="begin" w:fldLock="1"/>
      </w:r>
      <w:r w:rsidRPr="001415ED">
        <w:rPr>
          <w:rFonts w:cstheme="minorHAnsi"/>
          <w:b/>
        </w:rPr>
        <w:instrText xml:space="preserve"> ADDIN ZOTERO_BIBL {"uncited":[],"omitted":[],"custom":[]} CSL_BIBLIOGRAPHY </w:instrText>
      </w:r>
      <w:r w:rsidRPr="001415ED">
        <w:rPr>
          <w:rFonts w:cstheme="minorHAnsi"/>
          <w:b/>
          <w:lang w:val="en-US"/>
        </w:rPr>
        <w:fldChar w:fldCharType="separate"/>
      </w:r>
      <w:r w:rsidRPr="001415ED">
        <w:rPr>
          <w:rFonts w:ascii="Calibri" w:hAnsi="Calibri" w:cs="Calibri"/>
        </w:rPr>
        <w:t xml:space="preserve">Al-Mulali, U., Solarin, S. A., &amp; Ozturk, I. (2016). Investigating the presence of the environmental Kuznets curve (EKC) hypothesis in Kenya: An autoregressive distributed lag (ARDL) approach. </w:t>
      </w:r>
      <w:r w:rsidRPr="001415ED">
        <w:rPr>
          <w:rFonts w:ascii="Calibri" w:hAnsi="Calibri" w:cs="Calibri"/>
          <w:i/>
          <w:iCs/>
        </w:rPr>
        <w:t>Natural Hazards</w:t>
      </w:r>
      <w:r w:rsidRPr="001415ED">
        <w:rPr>
          <w:rFonts w:ascii="Calibri" w:hAnsi="Calibri" w:cs="Calibri"/>
        </w:rPr>
        <w:t xml:space="preserve">, </w:t>
      </w:r>
      <w:r w:rsidRPr="001415ED">
        <w:rPr>
          <w:rFonts w:ascii="Calibri" w:hAnsi="Calibri" w:cs="Calibri"/>
          <w:i/>
          <w:iCs/>
        </w:rPr>
        <w:t>80</w:t>
      </w:r>
      <w:r w:rsidRPr="001415ED">
        <w:rPr>
          <w:rFonts w:ascii="Calibri" w:hAnsi="Calibri" w:cs="Calibri"/>
        </w:rPr>
        <w:t>(3), 1729–1747. https://doi.org/10.1007/s11069-015-2050-x</w:t>
      </w:r>
    </w:p>
    <w:p w14:paraId="551DBB0A" w14:textId="77777777" w:rsidR="00072A91" w:rsidRPr="001415ED" w:rsidRDefault="00072A91" w:rsidP="00072A91">
      <w:pPr>
        <w:pStyle w:val="Bibliography"/>
        <w:spacing w:after="240" w:line="240" w:lineRule="auto"/>
        <w:rPr>
          <w:rFonts w:ascii="Calibri" w:hAnsi="Calibri" w:cs="Calibri"/>
        </w:rPr>
      </w:pPr>
      <w:r w:rsidRPr="001415ED">
        <w:rPr>
          <w:rFonts w:ascii="Calibri" w:hAnsi="Calibri" w:cs="Calibri"/>
        </w:rPr>
        <w:t xml:space="preserve">Aminu, N., Clifton, N., &amp; Mahe, S. (2023). From pollution to prosperity: Investigating the Environmental Kuznets curve and pollution-haven hypothesis in sub-Saharan Africa’s industrial sector. </w:t>
      </w:r>
      <w:r w:rsidRPr="001415ED">
        <w:rPr>
          <w:rFonts w:ascii="Calibri" w:hAnsi="Calibri" w:cs="Calibri"/>
          <w:i/>
          <w:iCs/>
        </w:rPr>
        <w:t>Journal of Environmental Management</w:t>
      </w:r>
      <w:r w:rsidRPr="001415ED">
        <w:rPr>
          <w:rFonts w:ascii="Calibri" w:hAnsi="Calibri" w:cs="Calibri"/>
        </w:rPr>
        <w:t xml:space="preserve">, </w:t>
      </w:r>
      <w:r w:rsidRPr="001415ED">
        <w:rPr>
          <w:rFonts w:ascii="Calibri" w:hAnsi="Calibri" w:cs="Calibri"/>
          <w:i/>
          <w:iCs/>
        </w:rPr>
        <w:t>342</w:t>
      </w:r>
      <w:r w:rsidRPr="001415ED">
        <w:rPr>
          <w:rFonts w:ascii="Calibri" w:hAnsi="Calibri" w:cs="Calibri"/>
        </w:rPr>
        <w:t>, 118147. https://doi.org/10.1016/j.jenvman.2023.118147</w:t>
      </w:r>
    </w:p>
    <w:p w14:paraId="709D64DE" w14:textId="77777777" w:rsidR="00072A91" w:rsidRPr="001415ED" w:rsidRDefault="00072A91" w:rsidP="00072A91">
      <w:pPr>
        <w:pStyle w:val="Bibliography"/>
        <w:spacing w:after="240" w:line="240" w:lineRule="auto"/>
        <w:rPr>
          <w:rFonts w:ascii="Calibri" w:hAnsi="Calibri" w:cs="Calibri"/>
        </w:rPr>
      </w:pPr>
      <w:r w:rsidRPr="001415ED">
        <w:rPr>
          <w:rFonts w:cstheme="minorHAnsi"/>
          <w:color w:val="000000" w:themeColor="text1"/>
          <w:shd w:val="clear" w:color="auto" w:fill="FFFFFF"/>
        </w:rPr>
        <w:t>Athanasopoulos, P., Dering, B., Wiggett, A., Kuipers, J. R., &amp; Thierry, G. (2010). Perceptual shift in bilingualism: Brain potentials reveal plasticity in pre-attentive colour perception. </w:t>
      </w:r>
      <w:r w:rsidRPr="001415ED">
        <w:rPr>
          <w:rFonts w:cstheme="minorHAnsi"/>
          <w:i/>
          <w:iCs/>
          <w:color w:val="000000" w:themeColor="text1"/>
          <w:shd w:val="clear" w:color="auto" w:fill="FFFFFF"/>
        </w:rPr>
        <w:t>Cognition</w:t>
      </w:r>
      <w:r w:rsidRPr="001415ED">
        <w:rPr>
          <w:rFonts w:cstheme="minorHAnsi"/>
          <w:color w:val="000000" w:themeColor="text1"/>
          <w:shd w:val="clear" w:color="auto" w:fill="FFFFFF"/>
        </w:rPr>
        <w:t>, </w:t>
      </w:r>
      <w:r w:rsidRPr="001415ED">
        <w:rPr>
          <w:rFonts w:cstheme="minorHAnsi"/>
          <w:i/>
          <w:iCs/>
          <w:color w:val="000000" w:themeColor="text1"/>
          <w:shd w:val="clear" w:color="auto" w:fill="FFFFFF"/>
        </w:rPr>
        <w:t>116</w:t>
      </w:r>
      <w:r w:rsidRPr="001415ED">
        <w:rPr>
          <w:rFonts w:cstheme="minorHAnsi"/>
          <w:color w:val="000000" w:themeColor="text1"/>
          <w:shd w:val="clear" w:color="auto" w:fill="FFFFFF"/>
        </w:rPr>
        <w:t>(3), 437-443.</w:t>
      </w:r>
    </w:p>
    <w:p w14:paraId="61338A9D" w14:textId="77777777" w:rsidR="00072A91" w:rsidRPr="001415ED" w:rsidRDefault="00072A91" w:rsidP="00072A91">
      <w:pPr>
        <w:pStyle w:val="Bibliography"/>
        <w:spacing w:after="240" w:line="240" w:lineRule="auto"/>
        <w:rPr>
          <w:rFonts w:ascii="Calibri" w:hAnsi="Calibri" w:cs="Calibri"/>
        </w:rPr>
      </w:pPr>
      <w:r w:rsidRPr="001415ED">
        <w:rPr>
          <w:rFonts w:ascii="Calibri" w:hAnsi="Calibri" w:cs="Calibri"/>
        </w:rPr>
        <w:t xml:space="preserve">Burns, S. (2018). M-Pesa and the ‘Market-Led’ Approach to Financial Inclusion. </w:t>
      </w:r>
      <w:r w:rsidRPr="001415ED">
        <w:rPr>
          <w:rFonts w:ascii="Calibri" w:hAnsi="Calibri" w:cs="Calibri"/>
          <w:i/>
          <w:iCs/>
        </w:rPr>
        <w:t>Economic Affairs</w:t>
      </w:r>
      <w:r w:rsidRPr="001415ED">
        <w:rPr>
          <w:rFonts w:ascii="Calibri" w:hAnsi="Calibri" w:cs="Calibri"/>
        </w:rPr>
        <w:t xml:space="preserve">, </w:t>
      </w:r>
      <w:r w:rsidRPr="001415ED">
        <w:rPr>
          <w:rFonts w:ascii="Calibri" w:hAnsi="Calibri" w:cs="Calibri"/>
          <w:i/>
          <w:iCs/>
        </w:rPr>
        <w:t>38</w:t>
      </w:r>
      <w:r w:rsidRPr="001415ED">
        <w:rPr>
          <w:rFonts w:ascii="Calibri" w:hAnsi="Calibri" w:cs="Calibri"/>
        </w:rPr>
        <w:t>, 406–421. https://doi.org/10.1111/ecaf.12321</w:t>
      </w:r>
    </w:p>
    <w:p w14:paraId="11598D84" w14:textId="77777777" w:rsidR="00072A91" w:rsidRPr="001415ED" w:rsidRDefault="00072A91" w:rsidP="00072A91">
      <w:pPr>
        <w:pStyle w:val="Bibliography"/>
        <w:spacing w:after="240" w:line="240" w:lineRule="auto"/>
        <w:rPr>
          <w:rFonts w:ascii="Calibri" w:hAnsi="Calibri" w:cs="Calibri"/>
        </w:rPr>
      </w:pPr>
      <w:r w:rsidRPr="001415ED">
        <w:rPr>
          <w:rFonts w:ascii="Calibri" w:hAnsi="Calibri" w:cs="Calibri"/>
        </w:rPr>
        <w:t xml:space="preserve">Choi, I. (2015). Panel Cointegration. In B. H. Baltagi (Ed.), </w:t>
      </w:r>
      <w:r w:rsidRPr="001415ED">
        <w:rPr>
          <w:rFonts w:ascii="Calibri" w:hAnsi="Calibri" w:cs="Calibri"/>
          <w:i/>
          <w:iCs/>
        </w:rPr>
        <w:t>The Oxford Handbook of Panel Data</w:t>
      </w:r>
      <w:r w:rsidRPr="001415ED">
        <w:rPr>
          <w:rFonts w:ascii="Calibri" w:hAnsi="Calibri" w:cs="Calibri"/>
        </w:rPr>
        <w:t xml:space="preserve"> (p. 0). Oxford University Press. https://doi.org/10.1093/oxfordhb/9780199940042.013.0002</w:t>
      </w:r>
    </w:p>
    <w:p w14:paraId="3396CAAF" w14:textId="77777777" w:rsidR="00072A91" w:rsidRPr="001415ED" w:rsidRDefault="00072A91" w:rsidP="00072A91">
      <w:pPr>
        <w:pStyle w:val="Bibliography"/>
        <w:spacing w:after="240" w:line="240" w:lineRule="auto"/>
        <w:rPr>
          <w:rFonts w:ascii="Calibri" w:hAnsi="Calibri" w:cs="Calibri"/>
        </w:rPr>
      </w:pPr>
      <w:r w:rsidRPr="001415ED">
        <w:rPr>
          <w:rFonts w:ascii="Calibri" w:hAnsi="Calibri" w:cs="Calibri"/>
        </w:rPr>
        <w:t xml:space="preserve">Christidou, M., Panagiotidis, T., &amp; Sharma, A. (2013). On the stationarity of per capita carbon dioxide emissions over a century. </w:t>
      </w:r>
      <w:r w:rsidRPr="001415ED">
        <w:rPr>
          <w:rFonts w:ascii="Calibri" w:hAnsi="Calibri" w:cs="Calibri"/>
          <w:i/>
          <w:iCs/>
        </w:rPr>
        <w:t>Economic Modelling</w:t>
      </w:r>
      <w:r w:rsidRPr="001415ED">
        <w:rPr>
          <w:rFonts w:ascii="Calibri" w:hAnsi="Calibri" w:cs="Calibri"/>
        </w:rPr>
        <w:t xml:space="preserve">, </w:t>
      </w:r>
      <w:r w:rsidRPr="001415ED">
        <w:rPr>
          <w:rFonts w:ascii="Calibri" w:hAnsi="Calibri" w:cs="Calibri"/>
          <w:i/>
          <w:iCs/>
        </w:rPr>
        <w:t>33</w:t>
      </w:r>
      <w:r w:rsidRPr="001415ED">
        <w:rPr>
          <w:rFonts w:ascii="Calibri" w:hAnsi="Calibri" w:cs="Calibri"/>
        </w:rPr>
        <w:t>, 918–925. https://doi.org/10.1016/j.econmod.2013.05.024</w:t>
      </w:r>
    </w:p>
    <w:p w14:paraId="3AEA6B39" w14:textId="77777777" w:rsidR="00072A91" w:rsidRPr="001415ED" w:rsidRDefault="00072A91" w:rsidP="00072A91">
      <w:pPr>
        <w:pStyle w:val="Bibliography"/>
        <w:spacing w:after="240" w:line="240" w:lineRule="auto"/>
        <w:rPr>
          <w:rFonts w:ascii="Calibri" w:hAnsi="Calibri" w:cs="Calibri"/>
        </w:rPr>
      </w:pPr>
      <w:r w:rsidRPr="001415ED">
        <w:rPr>
          <w:rFonts w:ascii="Calibri" w:hAnsi="Calibri" w:cs="Calibri"/>
        </w:rPr>
        <w:t xml:space="preserve">Department for Environment, Food and Rural Affairs. (2022, October 4). </w:t>
      </w:r>
      <w:r w:rsidRPr="001415ED">
        <w:rPr>
          <w:rFonts w:ascii="Calibri" w:hAnsi="Calibri" w:cs="Calibri"/>
          <w:i/>
          <w:iCs/>
        </w:rPr>
        <w:t>Overview of greenhouse gases</w:t>
      </w:r>
      <w:r w:rsidRPr="001415ED">
        <w:rPr>
          <w:rFonts w:ascii="Calibri" w:hAnsi="Calibri" w:cs="Calibri"/>
        </w:rPr>
        <w:t xml:space="preserve"> (UK; United Kingdom). National Atmospheric Emissions Inventory; Department for Environment, Food and Rural Affairs (Defra), Nobel House, 17 Smith Square, London SW1P 3JR helpline@defra.gsi.gov.uk. https://naei.beis.gov.uk/overview/ghg-overview</w:t>
      </w:r>
    </w:p>
    <w:p w14:paraId="4E2046C4" w14:textId="77777777" w:rsidR="00072A91" w:rsidRPr="001415ED" w:rsidRDefault="00072A91" w:rsidP="00072A91">
      <w:pPr>
        <w:pStyle w:val="Bibliography"/>
        <w:spacing w:after="240" w:line="240" w:lineRule="auto"/>
        <w:rPr>
          <w:rFonts w:ascii="Calibri" w:hAnsi="Calibri" w:cs="Calibri"/>
        </w:rPr>
      </w:pPr>
      <w:r w:rsidRPr="001415ED">
        <w:rPr>
          <w:rFonts w:ascii="Calibri" w:hAnsi="Calibri" w:cs="Calibri"/>
        </w:rPr>
        <w:t xml:space="preserve">Falchetta, G. (2023, September 4). </w:t>
      </w:r>
      <w:r w:rsidRPr="001415ED">
        <w:rPr>
          <w:rFonts w:ascii="Calibri" w:hAnsi="Calibri" w:cs="Calibri"/>
          <w:i/>
          <w:iCs/>
        </w:rPr>
        <w:t>Climate change will affect hydropower—African countries must be prepared</w:t>
      </w:r>
      <w:r w:rsidRPr="001415ED">
        <w:rPr>
          <w:rFonts w:ascii="Calibri" w:hAnsi="Calibri" w:cs="Calibri"/>
        </w:rPr>
        <w:t>. The conversation. http://theconversation.com/climate-change-will-affect-hydropower-african-countries-must-be-prepared-212659</w:t>
      </w:r>
    </w:p>
    <w:p w14:paraId="4747BDF8" w14:textId="77777777" w:rsidR="00072A91" w:rsidRPr="001415ED" w:rsidRDefault="00072A91" w:rsidP="00072A91">
      <w:pPr>
        <w:pStyle w:val="Bibliography"/>
        <w:spacing w:after="240" w:line="240" w:lineRule="auto"/>
        <w:rPr>
          <w:rFonts w:ascii="Calibri" w:hAnsi="Calibri" w:cs="Calibri"/>
        </w:rPr>
      </w:pPr>
      <w:r w:rsidRPr="001415ED">
        <w:rPr>
          <w:rFonts w:ascii="Calibri" w:hAnsi="Calibri" w:cs="Calibri"/>
        </w:rPr>
        <w:t xml:space="preserve">Flaherty, M., Gevorkyan, A., Radpour, S., &amp; Semmler, W. (2017). Financing climate policies through climate bonds – A three stage model and empirics. </w:t>
      </w:r>
      <w:r w:rsidRPr="001415ED">
        <w:rPr>
          <w:rFonts w:ascii="Calibri" w:hAnsi="Calibri" w:cs="Calibri"/>
          <w:i/>
          <w:iCs/>
        </w:rPr>
        <w:t>Research in International Business and Finance</w:t>
      </w:r>
      <w:r w:rsidRPr="001415ED">
        <w:rPr>
          <w:rFonts w:ascii="Calibri" w:hAnsi="Calibri" w:cs="Calibri"/>
        </w:rPr>
        <w:t xml:space="preserve">, </w:t>
      </w:r>
      <w:r w:rsidRPr="001415ED">
        <w:rPr>
          <w:rFonts w:ascii="Calibri" w:hAnsi="Calibri" w:cs="Calibri"/>
          <w:i/>
          <w:iCs/>
        </w:rPr>
        <w:t>42</w:t>
      </w:r>
      <w:r w:rsidRPr="001415ED">
        <w:rPr>
          <w:rFonts w:ascii="Calibri" w:hAnsi="Calibri" w:cs="Calibri"/>
        </w:rPr>
        <w:t>(C), 468–479.</w:t>
      </w:r>
    </w:p>
    <w:p w14:paraId="264FBB19" w14:textId="77777777" w:rsidR="00072A91" w:rsidRPr="001415ED" w:rsidRDefault="00072A91" w:rsidP="00072A91">
      <w:pPr>
        <w:pStyle w:val="Bibliography"/>
        <w:spacing w:after="240" w:line="240" w:lineRule="auto"/>
        <w:rPr>
          <w:rFonts w:ascii="Calibri" w:hAnsi="Calibri" w:cs="Calibri"/>
        </w:rPr>
      </w:pPr>
      <w:r w:rsidRPr="001415ED">
        <w:rPr>
          <w:rFonts w:ascii="Calibri" w:hAnsi="Calibri" w:cs="Calibri"/>
        </w:rPr>
        <w:t xml:space="preserve">Fon, R. M., Filippaios, F., Stoian, C., &amp; Lee, S. H. (2021). Does foreign direct investment promote institutional development in Africa? </w:t>
      </w:r>
      <w:r w:rsidRPr="001415ED">
        <w:rPr>
          <w:rFonts w:ascii="Calibri" w:hAnsi="Calibri" w:cs="Calibri"/>
          <w:i/>
          <w:iCs/>
        </w:rPr>
        <w:t>International Business Review</w:t>
      </w:r>
      <w:r w:rsidRPr="001415ED">
        <w:rPr>
          <w:rFonts w:ascii="Calibri" w:hAnsi="Calibri" w:cs="Calibri"/>
        </w:rPr>
        <w:t xml:space="preserve">, </w:t>
      </w:r>
      <w:r w:rsidRPr="001415ED">
        <w:rPr>
          <w:rFonts w:ascii="Calibri" w:hAnsi="Calibri" w:cs="Calibri"/>
          <w:i/>
          <w:iCs/>
        </w:rPr>
        <w:t>30</w:t>
      </w:r>
      <w:r w:rsidRPr="001415ED">
        <w:rPr>
          <w:rFonts w:ascii="Calibri" w:hAnsi="Calibri" w:cs="Calibri"/>
        </w:rPr>
        <w:t>(4), 101835. https://doi.org/10.1016/j.ibusrev.2021.101835</w:t>
      </w:r>
    </w:p>
    <w:p w14:paraId="5BC9660D" w14:textId="77777777" w:rsidR="00072A91" w:rsidRPr="001415ED" w:rsidRDefault="00072A91" w:rsidP="00072A91">
      <w:pPr>
        <w:pStyle w:val="Bibliography"/>
        <w:spacing w:after="240" w:line="240" w:lineRule="auto"/>
        <w:rPr>
          <w:rFonts w:ascii="Calibri" w:hAnsi="Calibri" w:cs="Calibri"/>
        </w:rPr>
      </w:pPr>
      <w:r w:rsidRPr="001415ED">
        <w:rPr>
          <w:rFonts w:cstheme="minorHAnsi"/>
          <w:color w:val="000000" w:themeColor="text1"/>
          <w:shd w:val="clear" w:color="auto" w:fill="FFFFFF"/>
        </w:rPr>
        <w:t>Hamilton, J. D., &amp; Susmel, R. (1994). Autoregressive conditional heteroskedasticity and changes in regime. </w:t>
      </w:r>
      <w:r w:rsidRPr="001415ED">
        <w:rPr>
          <w:rFonts w:cstheme="minorHAnsi"/>
          <w:i/>
          <w:iCs/>
          <w:color w:val="000000" w:themeColor="text1"/>
          <w:shd w:val="clear" w:color="auto" w:fill="FFFFFF"/>
        </w:rPr>
        <w:t>Journal of econometrics</w:t>
      </w:r>
      <w:r w:rsidRPr="001415ED">
        <w:rPr>
          <w:rFonts w:cstheme="minorHAnsi"/>
          <w:color w:val="000000" w:themeColor="text1"/>
          <w:shd w:val="clear" w:color="auto" w:fill="FFFFFF"/>
        </w:rPr>
        <w:t>, </w:t>
      </w:r>
      <w:r w:rsidRPr="001415ED">
        <w:rPr>
          <w:rFonts w:cstheme="minorHAnsi"/>
          <w:i/>
          <w:iCs/>
          <w:color w:val="000000" w:themeColor="text1"/>
          <w:shd w:val="clear" w:color="auto" w:fill="FFFFFF"/>
        </w:rPr>
        <w:t>64</w:t>
      </w:r>
      <w:r w:rsidRPr="001415ED">
        <w:rPr>
          <w:rFonts w:cstheme="minorHAnsi"/>
          <w:color w:val="000000" w:themeColor="text1"/>
          <w:shd w:val="clear" w:color="auto" w:fill="FFFFFF"/>
        </w:rPr>
        <w:t>(1-2), 307-333.</w:t>
      </w:r>
    </w:p>
    <w:p w14:paraId="585CF4DC" w14:textId="77777777" w:rsidR="00072A91" w:rsidRPr="001415ED" w:rsidRDefault="00072A91" w:rsidP="00072A91">
      <w:pPr>
        <w:pStyle w:val="Bibliography"/>
        <w:spacing w:after="240" w:line="240" w:lineRule="auto"/>
        <w:rPr>
          <w:rFonts w:ascii="Calibri" w:hAnsi="Calibri" w:cs="Calibri"/>
        </w:rPr>
      </w:pPr>
      <w:r w:rsidRPr="001415ED">
        <w:rPr>
          <w:rFonts w:ascii="Calibri" w:hAnsi="Calibri" w:cs="Calibri"/>
        </w:rPr>
        <w:t xml:space="preserve">International Energy Agency. (2020, June). </w:t>
      </w:r>
      <w:r w:rsidRPr="001415ED">
        <w:rPr>
          <w:rFonts w:ascii="Calibri" w:hAnsi="Calibri" w:cs="Calibri"/>
          <w:i/>
          <w:iCs/>
        </w:rPr>
        <w:t>Climate Impacts on African Hydropower – Analysis</w:t>
      </w:r>
      <w:r w:rsidRPr="001415ED">
        <w:rPr>
          <w:rFonts w:ascii="Calibri" w:hAnsi="Calibri" w:cs="Calibri"/>
        </w:rPr>
        <w:t xml:space="preserve"> [NGO]. IEA. https://www.iea.org/reports/climate-impacts-on-african-hydropower</w:t>
      </w:r>
    </w:p>
    <w:p w14:paraId="012A8A98" w14:textId="77777777" w:rsidR="00072A91" w:rsidRPr="001415ED" w:rsidRDefault="00072A91" w:rsidP="00072A91">
      <w:pPr>
        <w:pStyle w:val="Bibliography"/>
        <w:spacing w:after="240" w:line="240" w:lineRule="auto"/>
        <w:rPr>
          <w:rFonts w:ascii="Calibri" w:hAnsi="Calibri" w:cs="Calibri"/>
        </w:rPr>
      </w:pPr>
      <w:r w:rsidRPr="001415ED">
        <w:rPr>
          <w:rFonts w:ascii="Calibri" w:hAnsi="Calibri" w:cs="Calibri"/>
        </w:rPr>
        <w:t xml:space="preserve">International Energy Agency. (2021). </w:t>
      </w:r>
      <w:r w:rsidRPr="001415ED">
        <w:rPr>
          <w:rFonts w:ascii="Calibri" w:hAnsi="Calibri" w:cs="Calibri"/>
          <w:i/>
          <w:iCs/>
        </w:rPr>
        <w:t>Hydropower Special Market Report – Analysis</w:t>
      </w:r>
      <w:r w:rsidRPr="001415ED">
        <w:rPr>
          <w:rFonts w:ascii="Calibri" w:hAnsi="Calibri" w:cs="Calibri"/>
        </w:rPr>
        <w:t>. IEA. https://www.iea.org/reports/hydropower-special-market-report</w:t>
      </w:r>
    </w:p>
    <w:p w14:paraId="5813A78F" w14:textId="77777777" w:rsidR="00072A91" w:rsidRPr="001415ED" w:rsidRDefault="00072A91" w:rsidP="00072A91">
      <w:pPr>
        <w:pStyle w:val="Bibliography"/>
        <w:spacing w:after="240" w:line="240" w:lineRule="auto"/>
        <w:rPr>
          <w:rFonts w:ascii="Calibri" w:hAnsi="Calibri" w:cs="Calibri"/>
        </w:rPr>
      </w:pPr>
      <w:r w:rsidRPr="001415ED">
        <w:rPr>
          <w:rFonts w:ascii="Calibri" w:hAnsi="Calibri" w:cs="Calibri"/>
        </w:rPr>
        <w:t xml:space="preserve">Jin, S., Phillips, P. C. B., &amp; Sun, Y. (2006). A new approach to robust inference in cointegration. </w:t>
      </w:r>
      <w:r w:rsidRPr="001415ED">
        <w:rPr>
          <w:rFonts w:ascii="Calibri" w:hAnsi="Calibri" w:cs="Calibri"/>
          <w:i/>
          <w:iCs/>
        </w:rPr>
        <w:t>Economics Letters</w:t>
      </w:r>
      <w:r w:rsidRPr="001415ED">
        <w:rPr>
          <w:rFonts w:ascii="Calibri" w:hAnsi="Calibri" w:cs="Calibri"/>
        </w:rPr>
        <w:t xml:space="preserve">, </w:t>
      </w:r>
      <w:r w:rsidRPr="001415ED">
        <w:rPr>
          <w:rFonts w:ascii="Calibri" w:hAnsi="Calibri" w:cs="Calibri"/>
          <w:i/>
          <w:iCs/>
        </w:rPr>
        <w:t>91</w:t>
      </w:r>
      <w:r w:rsidRPr="001415ED">
        <w:rPr>
          <w:rFonts w:ascii="Calibri" w:hAnsi="Calibri" w:cs="Calibri"/>
        </w:rPr>
        <w:t>(2), 300–306. https://doi.org/10.1016/j.econlet.2005.12.019</w:t>
      </w:r>
    </w:p>
    <w:p w14:paraId="050FF797" w14:textId="77777777" w:rsidR="00072A91" w:rsidRPr="001415ED" w:rsidRDefault="00072A91" w:rsidP="00072A91">
      <w:pPr>
        <w:pStyle w:val="Bibliography"/>
        <w:spacing w:after="240" w:line="240" w:lineRule="auto"/>
        <w:rPr>
          <w:rFonts w:ascii="Calibri" w:hAnsi="Calibri" w:cs="Calibri"/>
        </w:rPr>
      </w:pPr>
      <w:r w:rsidRPr="001415ED">
        <w:rPr>
          <w:rFonts w:ascii="Calibri" w:hAnsi="Calibri" w:cs="Calibri"/>
        </w:rPr>
        <w:lastRenderedPageBreak/>
        <w:t xml:space="preserve">Kelejian, H. H., &amp; Prucha, I. R. (2007). HAC estimation in a spatial framework. </w:t>
      </w:r>
      <w:r w:rsidRPr="001415ED">
        <w:rPr>
          <w:rFonts w:ascii="Calibri" w:hAnsi="Calibri" w:cs="Calibri"/>
          <w:i/>
          <w:iCs/>
        </w:rPr>
        <w:t>Journal of Econometrics</w:t>
      </w:r>
      <w:r w:rsidRPr="001415ED">
        <w:rPr>
          <w:rFonts w:ascii="Calibri" w:hAnsi="Calibri" w:cs="Calibri"/>
        </w:rPr>
        <w:t xml:space="preserve">, </w:t>
      </w:r>
      <w:r w:rsidRPr="001415ED">
        <w:rPr>
          <w:rFonts w:ascii="Calibri" w:hAnsi="Calibri" w:cs="Calibri"/>
          <w:i/>
          <w:iCs/>
        </w:rPr>
        <w:t>140</w:t>
      </w:r>
      <w:r w:rsidRPr="001415ED">
        <w:rPr>
          <w:rFonts w:ascii="Calibri" w:hAnsi="Calibri" w:cs="Calibri"/>
        </w:rPr>
        <w:t>(1), 131–154. https://doi.org/10.1016/j.jeconom.2006.09.005</w:t>
      </w:r>
    </w:p>
    <w:p w14:paraId="509A043E" w14:textId="77777777" w:rsidR="00072A91" w:rsidRPr="001415ED" w:rsidRDefault="00072A91" w:rsidP="00072A91">
      <w:pPr>
        <w:pStyle w:val="Bibliography"/>
        <w:spacing w:after="240" w:line="240" w:lineRule="auto"/>
        <w:rPr>
          <w:rFonts w:ascii="Calibri" w:hAnsi="Calibri" w:cs="Calibri"/>
        </w:rPr>
      </w:pPr>
      <w:r w:rsidRPr="001415ED">
        <w:rPr>
          <w:rFonts w:ascii="Calibri" w:hAnsi="Calibri" w:cs="Calibri"/>
        </w:rPr>
        <w:t xml:space="preserve">Khan, M., Rana, A. T., &amp; Ghardallou, W. (2023). FDI and CO2 emissions in developing countries: The role of human capital. </w:t>
      </w:r>
      <w:r w:rsidRPr="001415ED">
        <w:rPr>
          <w:rFonts w:ascii="Calibri" w:hAnsi="Calibri" w:cs="Calibri"/>
          <w:i/>
          <w:iCs/>
        </w:rPr>
        <w:t>Natural Hazards (Dordrecht, Netherlands)</w:t>
      </w:r>
      <w:r w:rsidRPr="001415ED">
        <w:rPr>
          <w:rFonts w:ascii="Calibri" w:hAnsi="Calibri" w:cs="Calibri"/>
        </w:rPr>
        <w:t xml:space="preserve">, </w:t>
      </w:r>
      <w:r w:rsidRPr="001415ED">
        <w:rPr>
          <w:rFonts w:ascii="Calibri" w:hAnsi="Calibri" w:cs="Calibri"/>
          <w:i/>
          <w:iCs/>
        </w:rPr>
        <w:t>117</w:t>
      </w:r>
      <w:r w:rsidRPr="001415ED">
        <w:rPr>
          <w:rFonts w:ascii="Calibri" w:hAnsi="Calibri" w:cs="Calibri"/>
        </w:rPr>
        <w:t>(1), 1125–1155. https://doi.org/10.1007/s11069-023-05949-4</w:t>
      </w:r>
    </w:p>
    <w:p w14:paraId="3FA194B1" w14:textId="77777777" w:rsidR="00072A91" w:rsidRPr="001415ED" w:rsidRDefault="00072A91" w:rsidP="00072A91">
      <w:pPr>
        <w:pStyle w:val="Bibliography"/>
        <w:spacing w:after="240" w:line="240" w:lineRule="auto"/>
        <w:rPr>
          <w:rFonts w:cstheme="minorHAnsi"/>
          <w:color w:val="000000" w:themeColor="text1"/>
          <w:shd w:val="clear" w:color="auto" w:fill="FFFFFF"/>
        </w:rPr>
      </w:pPr>
      <w:r w:rsidRPr="001415ED">
        <w:rPr>
          <w:rFonts w:cstheme="minorHAnsi"/>
          <w:color w:val="000000" w:themeColor="text1"/>
          <w:shd w:val="clear" w:color="auto" w:fill="FFFFFF"/>
        </w:rPr>
        <w:t>Lütkepohl, H. (2005). New Introduction to Multiple Time Series Analysis. Springer Science &amp; Business Media, Berlin. https://doi.org/10.1007/978-3-540-27752-1</w:t>
      </w:r>
    </w:p>
    <w:p w14:paraId="34D21FCC" w14:textId="77777777" w:rsidR="00072A91" w:rsidRPr="001415ED" w:rsidRDefault="00072A91" w:rsidP="00072A91">
      <w:pPr>
        <w:pStyle w:val="Bibliography"/>
        <w:spacing w:after="240" w:line="240" w:lineRule="auto"/>
        <w:rPr>
          <w:rFonts w:ascii="Calibri" w:hAnsi="Calibri" w:cs="Calibri"/>
        </w:rPr>
      </w:pPr>
      <w:r w:rsidRPr="001415ED">
        <w:rPr>
          <w:rFonts w:cstheme="minorHAnsi"/>
          <w:color w:val="000000" w:themeColor="text1"/>
          <w:shd w:val="clear" w:color="auto" w:fill="FFFFFF"/>
        </w:rPr>
        <w:t>Lütkepohl, H. &amp; Kratzig, M. (2004). Applied Time Series Econometrics. Cambridge University Press, Cambridge.</w:t>
      </w:r>
    </w:p>
    <w:p w14:paraId="7C1A923F" w14:textId="77777777" w:rsidR="00072A91" w:rsidRPr="001415ED" w:rsidRDefault="00072A91" w:rsidP="00072A91">
      <w:pPr>
        <w:pStyle w:val="Bibliography"/>
        <w:spacing w:after="240" w:line="240" w:lineRule="auto"/>
        <w:rPr>
          <w:rFonts w:ascii="Calibri" w:hAnsi="Calibri" w:cs="Calibri"/>
        </w:rPr>
      </w:pPr>
      <w:r w:rsidRPr="001415ED">
        <w:rPr>
          <w:rFonts w:ascii="Calibri" w:hAnsi="Calibri" w:cs="Calibri"/>
        </w:rPr>
        <w:t xml:space="preserve">Page, J. M., Tarp, F., &amp; World Institute for Development Economics Research (Eds.). (2017). </w:t>
      </w:r>
      <w:r w:rsidRPr="001415ED">
        <w:rPr>
          <w:rFonts w:ascii="Calibri" w:hAnsi="Calibri" w:cs="Calibri"/>
          <w:i/>
          <w:iCs/>
        </w:rPr>
        <w:t>The practice of industrial policy: Government-business coordination in Africa and East Asia</w:t>
      </w:r>
      <w:r w:rsidRPr="001415ED">
        <w:rPr>
          <w:rFonts w:ascii="Calibri" w:hAnsi="Calibri" w:cs="Calibri"/>
        </w:rPr>
        <w:t xml:space="preserve"> (First edition). Oxford University Press.</w:t>
      </w:r>
    </w:p>
    <w:p w14:paraId="2269837C" w14:textId="77777777" w:rsidR="00072A91" w:rsidRPr="001415ED" w:rsidRDefault="00072A91" w:rsidP="00072A91">
      <w:pPr>
        <w:pStyle w:val="Bibliography"/>
        <w:spacing w:after="240" w:line="240" w:lineRule="auto"/>
        <w:rPr>
          <w:rFonts w:ascii="Calibri" w:hAnsi="Calibri" w:cs="Calibri"/>
        </w:rPr>
      </w:pPr>
      <w:r w:rsidRPr="001415ED">
        <w:rPr>
          <w:rFonts w:ascii="Calibri" w:hAnsi="Calibri" w:cs="Calibri"/>
        </w:rPr>
        <w:t xml:space="preserve">Romero-Ávila, D. (2008). Questioning the empirical basis of the environmental Kuznets curve for CO2: New evidence from a panel stationarity test robust to multiple breaks and cross-dependence. </w:t>
      </w:r>
      <w:r w:rsidRPr="001415ED">
        <w:rPr>
          <w:rFonts w:ascii="Calibri" w:hAnsi="Calibri" w:cs="Calibri"/>
          <w:i/>
          <w:iCs/>
        </w:rPr>
        <w:t>Ecological Economics</w:t>
      </w:r>
      <w:r w:rsidRPr="001415ED">
        <w:rPr>
          <w:rFonts w:ascii="Calibri" w:hAnsi="Calibri" w:cs="Calibri"/>
        </w:rPr>
        <w:t xml:space="preserve">, </w:t>
      </w:r>
      <w:r w:rsidRPr="001415ED">
        <w:rPr>
          <w:rFonts w:ascii="Calibri" w:hAnsi="Calibri" w:cs="Calibri"/>
          <w:i/>
          <w:iCs/>
        </w:rPr>
        <w:t>64</w:t>
      </w:r>
      <w:r w:rsidRPr="001415ED">
        <w:rPr>
          <w:rFonts w:ascii="Calibri" w:hAnsi="Calibri" w:cs="Calibri"/>
        </w:rPr>
        <w:t>(3), 559–574. https://doi.org/10.1016/j.ecolecon.2007.03.011</w:t>
      </w:r>
    </w:p>
    <w:p w14:paraId="44E5E49E" w14:textId="77777777" w:rsidR="00072A91" w:rsidRPr="001415ED" w:rsidRDefault="00072A91" w:rsidP="00072A91">
      <w:pPr>
        <w:pStyle w:val="Bibliography"/>
        <w:spacing w:after="240" w:line="240" w:lineRule="auto"/>
        <w:rPr>
          <w:rFonts w:ascii="Calibri" w:hAnsi="Calibri" w:cs="Calibri"/>
        </w:rPr>
      </w:pPr>
      <w:r w:rsidRPr="001415ED">
        <w:rPr>
          <w:rFonts w:ascii="Calibri" w:hAnsi="Calibri" w:cs="Calibri"/>
        </w:rPr>
        <w:t xml:space="preserve">Sovacool, B. K. (2016). How long will it take? Conceptualising the temporal dynamics of energy transitions. </w:t>
      </w:r>
      <w:r w:rsidRPr="001415ED">
        <w:rPr>
          <w:rFonts w:ascii="Calibri" w:hAnsi="Calibri" w:cs="Calibri"/>
          <w:i/>
          <w:iCs/>
        </w:rPr>
        <w:t>Energy Research &amp; Social Science</w:t>
      </w:r>
      <w:r w:rsidRPr="001415ED">
        <w:rPr>
          <w:rFonts w:ascii="Calibri" w:hAnsi="Calibri" w:cs="Calibri"/>
        </w:rPr>
        <w:t xml:space="preserve">, </w:t>
      </w:r>
      <w:r w:rsidRPr="001415ED">
        <w:rPr>
          <w:rFonts w:ascii="Calibri" w:hAnsi="Calibri" w:cs="Calibri"/>
          <w:i/>
          <w:iCs/>
        </w:rPr>
        <w:t>13</w:t>
      </w:r>
      <w:r w:rsidRPr="001415ED">
        <w:rPr>
          <w:rFonts w:ascii="Calibri" w:hAnsi="Calibri" w:cs="Calibri"/>
        </w:rPr>
        <w:t>, 202–215. https://doi.org/10.1016/j.erss.2015.12.020</w:t>
      </w:r>
    </w:p>
    <w:p w14:paraId="4280608F" w14:textId="77777777" w:rsidR="00072A91" w:rsidRPr="001415ED" w:rsidRDefault="00072A91" w:rsidP="00072A91">
      <w:pPr>
        <w:pStyle w:val="Bibliography"/>
        <w:spacing w:after="240" w:line="240" w:lineRule="auto"/>
        <w:rPr>
          <w:rFonts w:ascii="Calibri" w:hAnsi="Calibri" w:cs="Calibri"/>
        </w:rPr>
      </w:pPr>
      <w:r w:rsidRPr="001415ED">
        <w:rPr>
          <w:rFonts w:ascii="Calibri" w:hAnsi="Calibri" w:cs="Calibri"/>
        </w:rPr>
        <w:t xml:space="preserve">Vowles, N. (2019, April 12). </w:t>
      </w:r>
      <w:r w:rsidRPr="001415ED">
        <w:rPr>
          <w:rFonts w:ascii="Calibri" w:hAnsi="Calibri" w:cs="Calibri"/>
          <w:i/>
          <w:iCs/>
        </w:rPr>
        <w:t>No more Hoover dams: Hydropowered countries suffer higher levels of poverty, corruption and debt</w:t>
      </w:r>
      <w:r w:rsidRPr="001415ED">
        <w:rPr>
          <w:rFonts w:ascii="Calibri" w:hAnsi="Calibri" w:cs="Calibri"/>
        </w:rPr>
        <w:t>. The University of Sussex. https://www.sussex.ac.uk/broadcast/read/48423</w:t>
      </w:r>
    </w:p>
    <w:p w14:paraId="52051BA6" w14:textId="77777777" w:rsidR="00072A91" w:rsidRPr="001415ED" w:rsidRDefault="00072A91" w:rsidP="00072A91">
      <w:pPr>
        <w:pStyle w:val="Bibliography"/>
        <w:spacing w:after="240" w:line="240" w:lineRule="auto"/>
        <w:rPr>
          <w:rFonts w:ascii="Calibri" w:hAnsi="Calibri" w:cs="Calibri"/>
        </w:rPr>
      </w:pPr>
      <w:r w:rsidRPr="001415ED">
        <w:rPr>
          <w:rFonts w:ascii="Calibri" w:hAnsi="Calibri" w:cs="Calibri"/>
        </w:rPr>
        <w:t xml:space="preserve">Wang, Y., &amp; Huang, Y. (2022). Impact of Foreign Direct Investment on the Carbon Dioxide Emissions of East Asian Countries Based on a Panel ARDL Method. </w:t>
      </w:r>
      <w:r w:rsidRPr="001415ED">
        <w:rPr>
          <w:rFonts w:ascii="Calibri" w:hAnsi="Calibri" w:cs="Calibri"/>
          <w:i/>
          <w:iCs/>
        </w:rPr>
        <w:t>Frontiers in Environmental Science</w:t>
      </w:r>
      <w:r w:rsidRPr="001415ED">
        <w:rPr>
          <w:rFonts w:ascii="Calibri" w:hAnsi="Calibri" w:cs="Calibri"/>
        </w:rPr>
        <w:t xml:space="preserve">, </w:t>
      </w:r>
      <w:r w:rsidRPr="001415ED">
        <w:rPr>
          <w:rFonts w:ascii="Calibri" w:hAnsi="Calibri" w:cs="Calibri"/>
          <w:i/>
          <w:iCs/>
        </w:rPr>
        <w:t>10</w:t>
      </w:r>
      <w:r w:rsidRPr="001415ED">
        <w:rPr>
          <w:rFonts w:ascii="Calibri" w:hAnsi="Calibri" w:cs="Calibri"/>
        </w:rPr>
        <w:t>, 937837. https://doi.org/10.3389/fenvs.2022.937837</w:t>
      </w:r>
    </w:p>
    <w:p w14:paraId="29029702" w14:textId="77777777" w:rsidR="00072A91" w:rsidRPr="001415ED" w:rsidRDefault="00072A91" w:rsidP="00072A91">
      <w:pPr>
        <w:pStyle w:val="Bibliography"/>
        <w:spacing w:after="240" w:line="240" w:lineRule="auto"/>
        <w:rPr>
          <w:rFonts w:ascii="Calibri" w:hAnsi="Calibri" w:cs="Calibri"/>
        </w:rPr>
      </w:pPr>
      <w:r w:rsidRPr="001415ED">
        <w:rPr>
          <w:rFonts w:ascii="Calibri" w:hAnsi="Calibri" w:cs="Calibri"/>
        </w:rPr>
        <w:t xml:space="preserve">Zhang, J., &amp; Fu, X. (2008). FDI and environmental regulations in China. </w:t>
      </w:r>
      <w:r w:rsidRPr="001415ED">
        <w:rPr>
          <w:rFonts w:ascii="Calibri" w:hAnsi="Calibri" w:cs="Calibri"/>
          <w:i/>
          <w:iCs/>
        </w:rPr>
        <w:t>Journal of the Asia Pacific Economy</w:t>
      </w:r>
      <w:r w:rsidRPr="001415ED">
        <w:rPr>
          <w:rFonts w:ascii="Calibri" w:hAnsi="Calibri" w:cs="Calibri"/>
        </w:rPr>
        <w:t xml:space="preserve">, </w:t>
      </w:r>
      <w:r w:rsidRPr="001415ED">
        <w:rPr>
          <w:rFonts w:ascii="Calibri" w:hAnsi="Calibri" w:cs="Calibri"/>
          <w:i/>
          <w:iCs/>
        </w:rPr>
        <w:t>13</w:t>
      </w:r>
      <w:r w:rsidRPr="001415ED">
        <w:rPr>
          <w:rFonts w:ascii="Calibri" w:hAnsi="Calibri" w:cs="Calibri"/>
        </w:rPr>
        <w:t>(3), 332–353. https://doi.org/10.1080/13547860802131326</w:t>
      </w:r>
    </w:p>
    <w:p w14:paraId="6367EA30" w14:textId="77777777" w:rsidR="00072A91" w:rsidRPr="001415ED" w:rsidRDefault="00072A91" w:rsidP="00072A91">
      <w:pPr>
        <w:pStyle w:val="Bibliography"/>
        <w:spacing w:after="240" w:line="240" w:lineRule="auto"/>
        <w:rPr>
          <w:rFonts w:ascii="Calibri" w:hAnsi="Calibri" w:cs="Calibri"/>
        </w:rPr>
      </w:pPr>
      <w:r w:rsidRPr="001415ED">
        <w:rPr>
          <w:rFonts w:ascii="Calibri" w:hAnsi="Calibri" w:cs="Calibri"/>
        </w:rPr>
        <w:t xml:space="preserve">Zins, A., &amp; Weill, L. (2016). The determinants of financial inclusion in Africa. </w:t>
      </w:r>
      <w:r w:rsidRPr="001415ED">
        <w:rPr>
          <w:rFonts w:ascii="Calibri" w:hAnsi="Calibri" w:cs="Calibri"/>
          <w:i/>
          <w:iCs/>
        </w:rPr>
        <w:t>Review of Development Finance</w:t>
      </w:r>
      <w:r w:rsidRPr="001415ED">
        <w:rPr>
          <w:rFonts w:ascii="Calibri" w:hAnsi="Calibri" w:cs="Calibri"/>
        </w:rPr>
        <w:t xml:space="preserve">, </w:t>
      </w:r>
      <w:r w:rsidRPr="001415ED">
        <w:rPr>
          <w:rFonts w:ascii="Calibri" w:hAnsi="Calibri" w:cs="Calibri"/>
          <w:i/>
          <w:iCs/>
        </w:rPr>
        <w:t>6</w:t>
      </w:r>
      <w:r w:rsidRPr="001415ED">
        <w:rPr>
          <w:rFonts w:ascii="Calibri" w:hAnsi="Calibri" w:cs="Calibri"/>
        </w:rPr>
        <w:t>(1), 46–57. https://doi.org/10.1016/j.rdf.2016.05.001</w:t>
      </w:r>
    </w:p>
    <w:p w14:paraId="4E02A221" w14:textId="249011B3" w:rsidR="00072A91" w:rsidRPr="001415ED" w:rsidRDefault="00072A91" w:rsidP="00072A91">
      <w:pPr>
        <w:spacing w:after="200" w:line="240" w:lineRule="auto"/>
        <w:rPr>
          <w:rFonts w:eastAsia="Times New Roman" w:cstheme="minorHAnsi"/>
          <w:color w:val="000000"/>
          <w:lang w:val="en-US"/>
        </w:rPr>
      </w:pPr>
      <w:r w:rsidRPr="001415ED">
        <w:rPr>
          <w:rFonts w:eastAsia="MS Mincho" w:cstheme="minorHAnsi"/>
          <w:b/>
        </w:rPr>
        <w:fldChar w:fldCharType="end"/>
      </w:r>
    </w:p>
    <w:sectPr w:rsidR="00072A91" w:rsidRPr="001415E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A4BA8" w14:textId="77777777" w:rsidR="008E1A73" w:rsidRDefault="008E1A73" w:rsidP="004F7BEE">
      <w:pPr>
        <w:spacing w:after="0" w:line="240" w:lineRule="auto"/>
      </w:pPr>
      <w:r>
        <w:separator/>
      </w:r>
    </w:p>
  </w:endnote>
  <w:endnote w:type="continuationSeparator" w:id="0">
    <w:p w14:paraId="058A0B5C" w14:textId="77777777" w:rsidR="008E1A73" w:rsidRDefault="008E1A73" w:rsidP="004F7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1331F" w14:textId="77777777" w:rsidR="008E1A73" w:rsidRDefault="008E1A73" w:rsidP="004F7BEE">
      <w:pPr>
        <w:spacing w:after="0" w:line="240" w:lineRule="auto"/>
      </w:pPr>
      <w:r>
        <w:separator/>
      </w:r>
    </w:p>
  </w:footnote>
  <w:footnote w:type="continuationSeparator" w:id="0">
    <w:p w14:paraId="04DE2570" w14:textId="77777777" w:rsidR="008E1A73" w:rsidRDefault="008E1A73" w:rsidP="004F7BEE">
      <w:pPr>
        <w:spacing w:after="0" w:line="240" w:lineRule="auto"/>
      </w:pPr>
      <w:r>
        <w:continuationSeparator/>
      </w:r>
    </w:p>
  </w:footnote>
  <w:footnote w:id="1">
    <w:p w14:paraId="350F5690" w14:textId="77777777" w:rsidR="004F7BEE" w:rsidRDefault="004F7BEE" w:rsidP="004F7BEE">
      <w:pPr>
        <w:pStyle w:val="FootnoteText"/>
      </w:pPr>
      <w:r>
        <w:rPr>
          <w:rStyle w:val="FootnoteReference"/>
        </w:rPr>
        <w:footnoteRef/>
      </w:r>
      <w:r>
        <w:t xml:space="preserve"> Corresponding author; Email: </w:t>
      </w:r>
      <w:hyperlink r:id="rId1" w:history="1">
        <w:r w:rsidRPr="00EC452A">
          <w:rPr>
            <w:rStyle w:val="Hyperlink"/>
          </w:rPr>
          <w:t>naminu@cardiffmet.ac.uk</w:t>
        </w:r>
      </w:hyperlink>
      <w:r>
        <w:t xml:space="preserve">; </w:t>
      </w:r>
      <w:r w:rsidRPr="00F53D64">
        <w:rPr>
          <w:rStyle w:val="Hyperlink"/>
          <w:rFonts w:eastAsia="MS Mincho" w:cstheme="minorHAnsi"/>
          <w:sz w:val="22"/>
          <w:szCs w:val="22"/>
          <w:lang w:val="en-US"/>
        </w:rPr>
        <w:t>Address:</w:t>
      </w:r>
      <w:r>
        <w:rPr>
          <w:rStyle w:val="Hyperlink"/>
          <w:rFonts w:eastAsia="MS Mincho" w:cstheme="minorHAnsi"/>
          <w:sz w:val="22"/>
          <w:szCs w:val="22"/>
          <w:lang w:val="en-US"/>
        </w:rPr>
        <w:t xml:space="preserve"> </w:t>
      </w:r>
      <w:r w:rsidRPr="004F74ED">
        <w:t>Cardiff School of Management, Cardiff Metropolitan University</w:t>
      </w:r>
      <w:r>
        <w:t>, 200 Western Avenue, Llandaff Campus, Cardiff, UK. CF5 2YB.</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BEE"/>
    <w:rsid w:val="0006049B"/>
    <w:rsid w:val="00072A91"/>
    <w:rsid w:val="000B2BC2"/>
    <w:rsid w:val="000D361A"/>
    <w:rsid w:val="000D4A2C"/>
    <w:rsid w:val="000D4B3F"/>
    <w:rsid w:val="001415ED"/>
    <w:rsid w:val="00185AB1"/>
    <w:rsid w:val="001B4386"/>
    <w:rsid w:val="001B6390"/>
    <w:rsid w:val="001F6C88"/>
    <w:rsid w:val="00241772"/>
    <w:rsid w:val="00253511"/>
    <w:rsid w:val="00280503"/>
    <w:rsid w:val="002C4A90"/>
    <w:rsid w:val="002E62EA"/>
    <w:rsid w:val="003503A8"/>
    <w:rsid w:val="003722E6"/>
    <w:rsid w:val="00391181"/>
    <w:rsid w:val="00490620"/>
    <w:rsid w:val="00496D9D"/>
    <w:rsid w:val="004C3440"/>
    <w:rsid w:val="004E23CA"/>
    <w:rsid w:val="004F7BEE"/>
    <w:rsid w:val="0057337A"/>
    <w:rsid w:val="005968C6"/>
    <w:rsid w:val="005C3DA9"/>
    <w:rsid w:val="005D1792"/>
    <w:rsid w:val="005D2F05"/>
    <w:rsid w:val="005F43E4"/>
    <w:rsid w:val="00636F2C"/>
    <w:rsid w:val="006442EE"/>
    <w:rsid w:val="00683F82"/>
    <w:rsid w:val="00685A8E"/>
    <w:rsid w:val="006C14BF"/>
    <w:rsid w:val="007106EF"/>
    <w:rsid w:val="0072197C"/>
    <w:rsid w:val="007544FB"/>
    <w:rsid w:val="007A02BF"/>
    <w:rsid w:val="007D2FEF"/>
    <w:rsid w:val="007E5788"/>
    <w:rsid w:val="007F6B37"/>
    <w:rsid w:val="00845611"/>
    <w:rsid w:val="008E1A73"/>
    <w:rsid w:val="008E2B6A"/>
    <w:rsid w:val="008E2C8B"/>
    <w:rsid w:val="009130A1"/>
    <w:rsid w:val="009162ED"/>
    <w:rsid w:val="00932946"/>
    <w:rsid w:val="00942F7E"/>
    <w:rsid w:val="009C4A4D"/>
    <w:rsid w:val="00A30192"/>
    <w:rsid w:val="00A50053"/>
    <w:rsid w:val="00A53F5D"/>
    <w:rsid w:val="00A6198E"/>
    <w:rsid w:val="00A7782E"/>
    <w:rsid w:val="00AB31CE"/>
    <w:rsid w:val="00AF0319"/>
    <w:rsid w:val="00AF4CB2"/>
    <w:rsid w:val="00AF52BE"/>
    <w:rsid w:val="00B369FD"/>
    <w:rsid w:val="00B65FC5"/>
    <w:rsid w:val="00B95ABA"/>
    <w:rsid w:val="00BB58EF"/>
    <w:rsid w:val="00BD1213"/>
    <w:rsid w:val="00BD160B"/>
    <w:rsid w:val="00C13176"/>
    <w:rsid w:val="00C36F52"/>
    <w:rsid w:val="00C50DD4"/>
    <w:rsid w:val="00CA3E3D"/>
    <w:rsid w:val="00CA678A"/>
    <w:rsid w:val="00CB684D"/>
    <w:rsid w:val="00CC798B"/>
    <w:rsid w:val="00CE0F9A"/>
    <w:rsid w:val="00D134AA"/>
    <w:rsid w:val="00D16FEE"/>
    <w:rsid w:val="00D25E6A"/>
    <w:rsid w:val="00D71550"/>
    <w:rsid w:val="00D72CEC"/>
    <w:rsid w:val="00D812FA"/>
    <w:rsid w:val="00D826F5"/>
    <w:rsid w:val="00DA0148"/>
    <w:rsid w:val="00DB4A64"/>
    <w:rsid w:val="00E1017C"/>
    <w:rsid w:val="00E21446"/>
    <w:rsid w:val="00E24C48"/>
    <w:rsid w:val="00E34710"/>
    <w:rsid w:val="00E72F59"/>
    <w:rsid w:val="00EB2F10"/>
    <w:rsid w:val="00ED09C3"/>
    <w:rsid w:val="00F20930"/>
    <w:rsid w:val="00FB3C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1EEE021"/>
  <w15:chartTrackingRefBased/>
  <w15:docId w15:val="{6BB3F664-FB84-A847-8B5F-1BFBAD4E8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7BEE"/>
    <w:pPr>
      <w:spacing w:after="160" w:line="259" w:lineRule="auto"/>
    </w:pPr>
    <w:rPr>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7BEE"/>
    <w:rPr>
      <w:color w:val="0563C1" w:themeColor="hyperlink"/>
      <w:u w:val="single"/>
    </w:rPr>
  </w:style>
  <w:style w:type="paragraph" w:styleId="FootnoteText">
    <w:name w:val="footnote text"/>
    <w:basedOn w:val="Normal"/>
    <w:link w:val="FootnoteTextChar"/>
    <w:uiPriority w:val="99"/>
    <w:semiHidden/>
    <w:unhideWhenUsed/>
    <w:rsid w:val="004F7BE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F7BEE"/>
    <w:rPr>
      <w:kern w:val="0"/>
      <w:sz w:val="20"/>
      <w:szCs w:val="20"/>
      <w14:ligatures w14:val="none"/>
    </w:rPr>
  </w:style>
  <w:style w:type="character" w:styleId="FootnoteReference">
    <w:name w:val="footnote reference"/>
    <w:basedOn w:val="DefaultParagraphFont"/>
    <w:uiPriority w:val="99"/>
    <w:semiHidden/>
    <w:unhideWhenUsed/>
    <w:rsid w:val="004F7BEE"/>
    <w:rPr>
      <w:vertAlign w:val="superscript"/>
    </w:rPr>
  </w:style>
  <w:style w:type="paragraph" w:styleId="Caption">
    <w:name w:val="caption"/>
    <w:basedOn w:val="Normal"/>
    <w:next w:val="Normal"/>
    <w:uiPriority w:val="35"/>
    <w:unhideWhenUsed/>
    <w:qFormat/>
    <w:rsid w:val="00A50053"/>
    <w:pPr>
      <w:spacing w:after="200" w:line="240" w:lineRule="auto"/>
    </w:pPr>
    <w:rPr>
      <w:rFonts w:eastAsiaTheme="minorEastAsia"/>
      <w:b/>
      <w:bCs/>
      <w:color w:val="4472C4" w:themeColor="accent1"/>
      <w:sz w:val="18"/>
      <w:szCs w:val="18"/>
      <w:lang w:val="en-US"/>
    </w:rPr>
  </w:style>
  <w:style w:type="paragraph" w:styleId="Bibliography">
    <w:name w:val="Bibliography"/>
    <w:basedOn w:val="Normal"/>
    <w:next w:val="Normal"/>
    <w:uiPriority w:val="37"/>
    <w:semiHidden/>
    <w:unhideWhenUsed/>
    <w:rsid w:val="00072A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mailto:naminu@cardiffmet.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5</Pages>
  <Words>1534</Words>
  <Characters>8747</Characters>
  <Application>Microsoft Office Word</Application>
  <DocSecurity>0</DocSecurity>
  <Lines>72</Lines>
  <Paragraphs>20</Paragraphs>
  <ScaleCrop>false</ScaleCrop>
  <Company/>
  <LinksUpToDate>false</LinksUpToDate>
  <CharactersWithSpaces>10261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Aminu, Nasir</dc:creator>
  <cp:keywords/>
  <dc:description/>
  <cp:lastModifiedBy>Aminu, Nasir</cp:lastModifiedBy>
  <cp:revision>89</cp:revision>
  <dcterms:created xsi:type="dcterms:W3CDTF">2023-12-08T13:44:00Z</dcterms:created>
  <dcterms:modified xsi:type="dcterms:W3CDTF">2023-12-12T14:40:00Z</dcterms:modified>
</cp:coreProperties>
</file>