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7C514" w14:textId="2E6DB8BA" w:rsidR="00194097" w:rsidRPr="005C6D34" w:rsidRDefault="00194097" w:rsidP="00194097">
      <w:pPr>
        <w:spacing w:line="360" w:lineRule="auto"/>
        <w:jc w:val="center"/>
        <w:rPr>
          <w:rFonts w:cstheme="minorHAnsi"/>
          <w:b/>
          <w:sz w:val="24"/>
          <w:szCs w:val="24"/>
        </w:rPr>
      </w:pPr>
      <w:r w:rsidRPr="005C6D34">
        <w:rPr>
          <w:rFonts w:cstheme="minorHAnsi"/>
          <w:b/>
          <w:sz w:val="24"/>
          <w:szCs w:val="24"/>
        </w:rPr>
        <w:t>Socio-economic Factors, Digital Space and Voters: Evidence From  Nigeria</w:t>
      </w:r>
    </w:p>
    <w:p w14:paraId="6930853A" w14:textId="77777777" w:rsidR="00194097" w:rsidRPr="005C6D34" w:rsidRDefault="00194097" w:rsidP="00194097"/>
    <w:p w14:paraId="0573F0AB" w14:textId="77777777" w:rsidR="00194097" w:rsidRPr="005C6D34" w:rsidRDefault="00194097" w:rsidP="00194097">
      <w:pPr>
        <w:jc w:val="center"/>
      </w:pPr>
      <w:r w:rsidRPr="005C6D34">
        <w:t>Nasir Aminu</w:t>
      </w:r>
      <w:r w:rsidRPr="005C6D34">
        <w:rPr>
          <w:rStyle w:val="FootnoteReference"/>
        </w:rPr>
        <w:footnoteReference w:id="2"/>
      </w:r>
      <w:r w:rsidRPr="005C6D34">
        <w:t xml:space="preserve"> and Olalekan </w:t>
      </w:r>
      <w:proofErr w:type="spellStart"/>
      <w:r w:rsidRPr="005C6D34">
        <w:t>Waheed</w:t>
      </w:r>
      <w:proofErr w:type="spellEnd"/>
      <w:r w:rsidRPr="005C6D34">
        <w:t xml:space="preserve"> Adigun</w:t>
      </w:r>
      <w:r w:rsidRPr="005C6D34">
        <w:rPr>
          <w:rStyle w:val="FootnoteReference"/>
        </w:rPr>
        <w:footnoteReference w:id="3"/>
      </w:r>
    </w:p>
    <w:p w14:paraId="419C828B" w14:textId="77777777" w:rsidR="00CD09AE" w:rsidRPr="005C6D34" w:rsidRDefault="00CD09AE" w:rsidP="000A687F">
      <w:pPr>
        <w:spacing w:line="360" w:lineRule="auto"/>
        <w:jc w:val="center"/>
        <w:rPr>
          <w:rFonts w:cstheme="minorHAnsi"/>
          <w:b/>
          <w:sz w:val="24"/>
          <w:szCs w:val="24"/>
        </w:rPr>
      </w:pPr>
    </w:p>
    <w:p w14:paraId="2C48E5B7" w14:textId="77777777" w:rsidR="00CD09AE" w:rsidRPr="005C6D34" w:rsidRDefault="00CD09AE" w:rsidP="000A687F">
      <w:pPr>
        <w:spacing w:line="360" w:lineRule="auto"/>
        <w:jc w:val="center"/>
        <w:rPr>
          <w:rFonts w:cstheme="minorHAnsi"/>
          <w:b/>
          <w:sz w:val="24"/>
          <w:szCs w:val="24"/>
        </w:rPr>
      </w:pPr>
    </w:p>
    <w:p w14:paraId="03A16172" w14:textId="77777777" w:rsidR="00CD09AE" w:rsidRPr="005C6D34" w:rsidRDefault="00CD09AE" w:rsidP="000A687F">
      <w:pPr>
        <w:spacing w:line="360" w:lineRule="auto"/>
        <w:jc w:val="center"/>
        <w:rPr>
          <w:rFonts w:cstheme="minorHAnsi"/>
          <w:b/>
          <w:sz w:val="24"/>
          <w:szCs w:val="24"/>
        </w:rPr>
      </w:pPr>
    </w:p>
    <w:p w14:paraId="6123FC39" w14:textId="77777777" w:rsidR="00CD09AE" w:rsidRPr="005C6D34" w:rsidRDefault="00CD09AE" w:rsidP="000A687F">
      <w:pPr>
        <w:spacing w:line="360" w:lineRule="auto"/>
        <w:jc w:val="center"/>
        <w:rPr>
          <w:rFonts w:cstheme="minorHAnsi"/>
          <w:b/>
          <w:sz w:val="24"/>
          <w:szCs w:val="24"/>
        </w:rPr>
      </w:pPr>
    </w:p>
    <w:p w14:paraId="3C8FFE2F" w14:textId="77777777" w:rsidR="00CD09AE" w:rsidRPr="005C6D34" w:rsidRDefault="00CD09AE" w:rsidP="000A687F">
      <w:pPr>
        <w:spacing w:line="360" w:lineRule="auto"/>
        <w:jc w:val="center"/>
        <w:rPr>
          <w:rFonts w:cstheme="minorHAnsi"/>
          <w:b/>
          <w:sz w:val="24"/>
          <w:szCs w:val="24"/>
        </w:rPr>
      </w:pPr>
    </w:p>
    <w:p w14:paraId="7B1724FE" w14:textId="77777777" w:rsidR="00CD09AE" w:rsidRPr="005C6D34" w:rsidRDefault="00CD09AE" w:rsidP="000A687F">
      <w:pPr>
        <w:spacing w:line="360" w:lineRule="auto"/>
        <w:jc w:val="center"/>
        <w:rPr>
          <w:rFonts w:cstheme="minorHAnsi"/>
          <w:b/>
          <w:sz w:val="24"/>
          <w:szCs w:val="24"/>
        </w:rPr>
      </w:pPr>
    </w:p>
    <w:p w14:paraId="41F30EE6" w14:textId="77777777" w:rsidR="00CD09AE" w:rsidRPr="005C6D34" w:rsidRDefault="00CD09AE" w:rsidP="000A687F">
      <w:pPr>
        <w:spacing w:line="360" w:lineRule="auto"/>
        <w:jc w:val="center"/>
        <w:rPr>
          <w:rFonts w:cstheme="minorHAnsi"/>
          <w:b/>
          <w:sz w:val="24"/>
          <w:szCs w:val="24"/>
        </w:rPr>
      </w:pPr>
    </w:p>
    <w:p w14:paraId="248F5351" w14:textId="77777777" w:rsidR="00CD09AE" w:rsidRPr="005C6D34" w:rsidRDefault="00CD09AE" w:rsidP="000A687F">
      <w:pPr>
        <w:spacing w:line="360" w:lineRule="auto"/>
        <w:jc w:val="center"/>
        <w:rPr>
          <w:rFonts w:cstheme="minorHAnsi"/>
          <w:b/>
          <w:sz w:val="24"/>
          <w:szCs w:val="24"/>
        </w:rPr>
      </w:pPr>
    </w:p>
    <w:p w14:paraId="297C0206" w14:textId="77777777" w:rsidR="00CD09AE" w:rsidRPr="005C6D34" w:rsidRDefault="00CD09AE" w:rsidP="000A687F">
      <w:pPr>
        <w:spacing w:line="360" w:lineRule="auto"/>
        <w:jc w:val="center"/>
        <w:rPr>
          <w:rFonts w:cstheme="minorHAnsi"/>
          <w:b/>
          <w:sz w:val="24"/>
          <w:szCs w:val="24"/>
        </w:rPr>
      </w:pPr>
    </w:p>
    <w:p w14:paraId="1566717B" w14:textId="77777777" w:rsidR="00CD09AE" w:rsidRPr="005C6D34" w:rsidRDefault="00CD09AE" w:rsidP="000A687F">
      <w:pPr>
        <w:spacing w:line="360" w:lineRule="auto"/>
        <w:jc w:val="center"/>
        <w:rPr>
          <w:rFonts w:cstheme="minorHAnsi"/>
          <w:b/>
          <w:sz w:val="24"/>
          <w:szCs w:val="24"/>
        </w:rPr>
      </w:pPr>
    </w:p>
    <w:p w14:paraId="161C323C" w14:textId="77777777" w:rsidR="00CD09AE" w:rsidRPr="005C6D34" w:rsidRDefault="00CD09AE" w:rsidP="000A687F">
      <w:pPr>
        <w:spacing w:line="360" w:lineRule="auto"/>
        <w:jc w:val="center"/>
        <w:rPr>
          <w:rFonts w:cstheme="minorHAnsi"/>
          <w:b/>
          <w:sz w:val="24"/>
          <w:szCs w:val="24"/>
        </w:rPr>
      </w:pPr>
    </w:p>
    <w:p w14:paraId="52BFE443" w14:textId="77777777" w:rsidR="00CD09AE" w:rsidRPr="005C6D34" w:rsidRDefault="00CD09AE" w:rsidP="000A687F">
      <w:pPr>
        <w:spacing w:line="360" w:lineRule="auto"/>
        <w:jc w:val="center"/>
        <w:rPr>
          <w:rFonts w:cstheme="minorHAnsi"/>
          <w:b/>
          <w:sz w:val="24"/>
          <w:szCs w:val="24"/>
        </w:rPr>
      </w:pPr>
    </w:p>
    <w:p w14:paraId="26A4CE96" w14:textId="77777777" w:rsidR="00CD09AE" w:rsidRPr="005C6D34" w:rsidRDefault="00CD09AE" w:rsidP="000A687F">
      <w:pPr>
        <w:spacing w:line="360" w:lineRule="auto"/>
        <w:jc w:val="center"/>
        <w:rPr>
          <w:rFonts w:cstheme="minorHAnsi"/>
          <w:b/>
          <w:sz w:val="24"/>
          <w:szCs w:val="24"/>
        </w:rPr>
      </w:pPr>
    </w:p>
    <w:p w14:paraId="1B9607B8" w14:textId="77777777" w:rsidR="00CD09AE" w:rsidRPr="005C6D34" w:rsidRDefault="00CD09AE" w:rsidP="000A687F">
      <w:pPr>
        <w:spacing w:line="360" w:lineRule="auto"/>
        <w:jc w:val="center"/>
        <w:rPr>
          <w:rFonts w:cstheme="minorHAnsi"/>
          <w:b/>
          <w:sz w:val="24"/>
          <w:szCs w:val="24"/>
        </w:rPr>
      </w:pPr>
    </w:p>
    <w:p w14:paraId="65B2CC4C" w14:textId="77777777" w:rsidR="00CD09AE" w:rsidRPr="005C6D34" w:rsidRDefault="00CD09AE" w:rsidP="000A687F">
      <w:pPr>
        <w:spacing w:line="360" w:lineRule="auto"/>
        <w:jc w:val="center"/>
        <w:rPr>
          <w:rFonts w:cstheme="minorHAnsi"/>
          <w:b/>
          <w:sz w:val="24"/>
          <w:szCs w:val="24"/>
        </w:rPr>
      </w:pPr>
    </w:p>
    <w:p w14:paraId="4587CEE8" w14:textId="5E36B5DC" w:rsidR="00CD09AE" w:rsidRPr="005C6D34" w:rsidRDefault="00CD09AE" w:rsidP="000A687F">
      <w:pPr>
        <w:spacing w:line="360" w:lineRule="auto"/>
        <w:jc w:val="center"/>
        <w:rPr>
          <w:rFonts w:cstheme="minorHAnsi"/>
          <w:b/>
          <w:sz w:val="24"/>
          <w:szCs w:val="24"/>
        </w:rPr>
      </w:pPr>
      <w:r w:rsidRPr="005C6D34">
        <w:rPr>
          <w:rFonts w:cstheme="minorHAnsi"/>
          <w:b/>
          <w:sz w:val="24"/>
          <w:szCs w:val="24"/>
        </w:rPr>
        <w:lastRenderedPageBreak/>
        <w:t>Abstract</w:t>
      </w:r>
    </w:p>
    <w:p w14:paraId="7267A21C" w14:textId="77777777" w:rsidR="00672997" w:rsidRPr="005C6D34" w:rsidRDefault="00672997" w:rsidP="00672997">
      <w:pPr>
        <w:jc w:val="both"/>
        <w:rPr>
          <w:sz w:val="24"/>
          <w:szCs w:val="24"/>
        </w:rPr>
      </w:pPr>
      <w:r w:rsidRPr="005C6D34">
        <w:rPr>
          <w:sz w:val="24"/>
          <w:szCs w:val="24"/>
        </w:rPr>
        <w:t>Civic participation often manifests in voting, protests, and contesting for electoral positions and activism. Theorists and empirics agree that the socio-economic conditions of the people can shape civic participation</w:t>
      </w:r>
      <w:r>
        <w:rPr>
          <w:sz w:val="24"/>
          <w:szCs w:val="24"/>
        </w:rPr>
        <w:t xml:space="preserve">. </w:t>
      </w:r>
      <w:r w:rsidRPr="005C6D34">
        <w:rPr>
          <w:sz w:val="24"/>
          <w:szCs w:val="24"/>
        </w:rPr>
        <w:t>Mixed results</w:t>
      </w:r>
      <w:r>
        <w:rPr>
          <w:sz w:val="24"/>
          <w:szCs w:val="24"/>
        </w:rPr>
        <w:t xml:space="preserve"> from previous studies relied</w:t>
      </w:r>
      <w:r w:rsidRPr="005C6D34">
        <w:rPr>
          <w:sz w:val="24"/>
          <w:szCs w:val="24"/>
        </w:rPr>
        <w:t xml:space="preserve"> on voter turnouts as indicators of voter behaviour. </w:t>
      </w:r>
      <w:r>
        <w:rPr>
          <w:sz w:val="24"/>
          <w:szCs w:val="24"/>
        </w:rPr>
        <w:t xml:space="preserve">Our study </w:t>
      </w:r>
      <w:r w:rsidRPr="005C6D34">
        <w:rPr>
          <w:sz w:val="24"/>
          <w:szCs w:val="24"/>
        </w:rPr>
        <w:t>analyse</w:t>
      </w:r>
      <w:r>
        <w:rPr>
          <w:sz w:val="24"/>
          <w:szCs w:val="24"/>
        </w:rPr>
        <w:t>d</w:t>
      </w:r>
      <w:r w:rsidRPr="005C6D34">
        <w:rPr>
          <w:sz w:val="24"/>
          <w:szCs w:val="24"/>
        </w:rPr>
        <w:t xml:space="preserve"> the relationship between digital space, socio-economic discontent, and voter behaviour among young people. </w:t>
      </w:r>
      <w:r>
        <w:rPr>
          <w:sz w:val="24"/>
          <w:szCs w:val="24"/>
        </w:rPr>
        <w:t>Specifically, we</w:t>
      </w:r>
      <w:r w:rsidRPr="005C6D34">
        <w:rPr>
          <w:sz w:val="24"/>
          <w:szCs w:val="24"/>
        </w:rPr>
        <w:t xml:space="preserve"> undertook </w:t>
      </w:r>
      <w:r>
        <w:rPr>
          <w:sz w:val="24"/>
          <w:szCs w:val="24"/>
        </w:rPr>
        <w:t xml:space="preserve">an </w:t>
      </w:r>
      <w:r w:rsidRPr="005C6D34">
        <w:rPr>
          <w:sz w:val="24"/>
          <w:szCs w:val="24"/>
        </w:rPr>
        <w:t>empirical investigat</w:t>
      </w:r>
      <w:r>
        <w:rPr>
          <w:sz w:val="24"/>
          <w:szCs w:val="24"/>
        </w:rPr>
        <w:t>ion to understand</w:t>
      </w:r>
      <w:r w:rsidRPr="005C6D34">
        <w:rPr>
          <w:sz w:val="24"/>
          <w:szCs w:val="24"/>
        </w:rPr>
        <w:t xml:space="preserve"> how discontent shapes voter behaviour</w:t>
      </w:r>
      <w:r>
        <w:rPr>
          <w:sz w:val="24"/>
          <w:szCs w:val="24"/>
        </w:rPr>
        <w:t xml:space="preserve"> in Nigeria using </w:t>
      </w:r>
      <w:r w:rsidRPr="005C6D34">
        <w:rPr>
          <w:sz w:val="24"/>
          <w:szCs w:val="24"/>
        </w:rPr>
        <w:t>quantitative data from the sub-national level</w:t>
      </w:r>
      <w:r>
        <w:rPr>
          <w:sz w:val="24"/>
          <w:szCs w:val="24"/>
        </w:rPr>
        <w:t xml:space="preserve"> and </w:t>
      </w:r>
      <w:r w:rsidRPr="005C6D34">
        <w:rPr>
          <w:sz w:val="24"/>
          <w:szCs w:val="24"/>
        </w:rPr>
        <w:t xml:space="preserve">across six geo-political zones in Nigeria. </w:t>
      </w:r>
      <w:r>
        <w:rPr>
          <w:sz w:val="24"/>
          <w:szCs w:val="24"/>
        </w:rPr>
        <w:t xml:space="preserve">The analytical methodology of data analysis is novel to the literature, using statistical and qualitative techniques across different election cycles. Using key </w:t>
      </w:r>
      <w:r w:rsidRPr="005C6D34">
        <w:rPr>
          <w:sz w:val="24"/>
          <w:szCs w:val="24"/>
        </w:rPr>
        <w:t>variables like voter registration</w:t>
      </w:r>
      <w:r>
        <w:rPr>
          <w:sz w:val="24"/>
          <w:szCs w:val="24"/>
        </w:rPr>
        <w:t xml:space="preserve"> and socio-economic factors, w</w:t>
      </w:r>
      <w:r w:rsidRPr="005C6D34">
        <w:rPr>
          <w:sz w:val="24"/>
          <w:szCs w:val="24"/>
        </w:rPr>
        <w:t xml:space="preserve">e found evidence of widening polarisation gaps among Nigerian voters, largely due to the influence of digital space and socio-economic discontent in the country. Our empirical data shows an inverse relationship between socio-economic factors and voter turnout in off-cycle elections, </w:t>
      </w:r>
      <w:r>
        <w:rPr>
          <w:sz w:val="24"/>
          <w:szCs w:val="24"/>
        </w:rPr>
        <w:t>aligning with the underlying withdrawal effect theory</w:t>
      </w:r>
      <w:r w:rsidRPr="005C6D34">
        <w:rPr>
          <w:sz w:val="24"/>
          <w:szCs w:val="24"/>
        </w:rPr>
        <w:t>. We also found socio-economic factors are negatively correlated with voter registration. The outcome can lead to voter apathy among young and middle-aged voters.</w:t>
      </w:r>
    </w:p>
    <w:p w14:paraId="2679FB73" w14:textId="30B035DB" w:rsidR="008243C7" w:rsidRPr="005C6D34" w:rsidRDefault="008243C7" w:rsidP="00CD09AE">
      <w:pPr>
        <w:jc w:val="both"/>
      </w:pPr>
    </w:p>
    <w:p w14:paraId="730EEC8B" w14:textId="3B4B4C83" w:rsidR="008243C7" w:rsidRPr="005C6D34" w:rsidRDefault="008243C7" w:rsidP="00CD09AE">
      <w:pPr>
        <w:jc w:val="both"/>
        <w:rPr>
          <w:sz w:val="24"/>
          <w:szCs w:val="24"/>
        </w:rPr>
      </w:pPr>
      <w:r w:rsidRPr="005C6D34">
        <w:rPr>
          <w:sz w:val="24"/>
          <w:szCs w:val="24"/>
        </w:rPr>
        <w:t xml:space="preserve">Keywords: </w:t>
      </w:r>
      <w:r w:rsidR="00D53F86" w:rsidRPr="005C6D34">
        <w:rPr>
          <w:sz w:val="24"/>
          <w:szCs w:val="24"/>
        </w:rPr>
        <w:t>Macroanalysis</w:t>
      </w:r>
      <w:r w:rsidRPr="005C6D34">
        <w:rPr>
          <w:sz w:val="24"/>
          <w:szCs w:val="24"/>
        </w:rPr>
        <w:t xml:space="preserve">, </w:t>
      </w:r>
      <w:r w:rsidR="00D53F86" w:rsidRPr="005C6D34">
        <w:rPr>
          <w:sz w:val="24"/>
          <w:szCs w:val="24"/>
        </w:rPr>
        <w:t>Socio</w:t>
      </w:r>
      <w:r w:rsidR="003F35CB" w:rsidRPr="005C6D34">
        <w:rPr>
          <w:sz w:val="24"/>
          <w:szCs w:val="24"/>
        </w:rPr>
        <w:t>-economics factors</w:t>
      </w:r>
      <w:r w:rsidR="007A6D59" w:rsidRPr="005C6D34">
        <w:rPr>
          <w:sz w:val="24"/>
          <w:szCs w:val="24"/>
        </w:rPr>
        <w:t>;</w:t>
      </w:r>
      <w:r w:rsidR="003F35CB" w:rsidRPr="005C6D34">
        <w:rPr>
          <w:sz w:val="24"/>
          <w:szCs w:val="24"/>
        </w:rPr>
        <w:t xml:space="preserve"> </w:t>
      </w:r>
      <w:r w:rsidR="00D53F86" w:rsidRPr="005C6D34">
        <w:rPr>
          <w:sz w:val="24"/>
          <w:szCs w:val="24"/>
        </w:rPr>
        <w:t xml:space="preserve">Voter </w:t>
      </w:r>
      <w:r w:rsidR="00452F36" w:rsidRPr="005C6D34">
        <w:rPr>
          <w:sz w:val="24"/>
          <w:szCs w:val="24"/>
        </w:rPr>
        <w:t>registration</w:t>
      </w:r>
      <w:r w:rsidR="007A6D59" w:rsidRPr="005C6D34">
        <w:rPr>
          <w:sz w:val="24"/>
          <w:szCs w:val="24"/>
        </w:rPr>
        <w:t>;</w:t>
      </w:r>
      <w:r w:rsidR="00452F36" w:rsidRPr="005C6D34">
        <w:rPr>
          <w:sz w:val="24"/>
          <w:szCs w:val="24"/>
        </w:rPr>
        <w:t xml:space="preserve"> </w:t>
      </w:r>
      <w:r w:rsidR="00D53F86" w:rsidRPr="005C6D34">
        <w:rPr>
          <w:sz w:val="24"/>
          <w:szCs w:val="24"/>
        </w:rPr>
        <w:t xml:space="preserve">Digital </w:t>
      </w:r>
      <w:r w:rsidR="009339B3" w:rsidRPr="005C6D34">
        <w:rPr>
          <w:sz w:val="24"/>
          <w:szCs w:val="24"/>
        </w:rPr>
        <w:t>space</w:t>
      </w:r>
      <w:r w:rsidR="007A6D59" w:rsidRPr="005C6D34">
        <w:rPr>
          <w:sz w:val="24"/>
          <w:szCs w:val="24"/>
        </w:rPr>
        <w:t>;</w:t>
      </w:r>
      <w:r w:rsidR="009339B3" w:rsidRPr="005C6D34">
        <w:rPr>
          <w:sz w:val="24"/>
          <w:szCs w:val="24"/>
        </w:rPr>
        <w:t xml:space="preserve"> </w:t>
      </w:r>
      <w:r w:rsidR="00D53F86" w:rsidRPr="005C6D34">
        <w:rPr>
          <w:sz w:val="24"/>
          <w:szCs w:val="24"/>
        </w:rPr>
        <w:t xml:space="preserve">Voter </w:t>
      </w:r>
      <w:r w:rsidR="009339B3" w:rsidRPr="005C6D34">
        <w:rPr>
          <w:sz w:val="24"/>
          <w:szCs w:val="24"/>
        </w:rPr>
        <w:t>turnout</w:t>
      </w:r>
      <w:r w:rsidR="007A6D59" w:rsidRPr="005C6D34">
        <w:rPr>
          <w:sz w:val="24"/>
          <w:szCs w:val="24"/>
        </w:rPr>
        <w:t>;</w:t>
      </w:r>
      <w:r w:rsidR="009339B3" w:rsidRPr="005C6D34">
        <w:rPr>
          <w:sz w:val="24"/>
          <w:szCs w:val="24"/>
        </w:rPr>
        <w:t xml:space="preserve"> </w:t>
      </w:r>
      <w:r w:rsidR="00D53F86" w:rsidRPr="005C6D34">
        <w:rPr>
          <w:sz w:val="24"/>
          <w:szCs w:val="24"/>
        </w:rPr>
        <w:t>Polarisation</w:t>
      </w:r>
    </w:p>
    <w:p w14:paraId="174F748B" w14:textId="3BD1AA7B" w:rsidR="00CD09AE" w:rsidRPr="005C6D34" w:rsidRDefault="00CD09AE" w:rsidP="000A687F">
      <w:pPr>
        <w:spacing w:line="360" w:lineRule="auto"/>
        <w:jc w:val="center"/>
        <w:rPr>
          <w:rFonts w:cstheme="minorHAnsi"/>
          <w:b/>
          <w:sz w:val="24"/>
          <w:szCs w:val="24"/>
        </w:rPr>
      </w:pPr>
    </w:p>
    <w:p w14:paraId="2875FF62" w14:textId="6CB754A5" w:rsidR="000A687F" w:rsidRPr="005C6D34" w:rsidRDefault="000A687F" w:rsidP="000A687F">
      <w:pPr>
        <w:spacing w:line="360" w:lineRule="auto"/>
        <w:rPr>
          <w:rFonts w:cstheme="minorHAnsi"/>
          <w:b/>
          <w:sz w:val="24"/>
          <w:szCs w:val="24"/>
        </w:rPr>
      </w:pPr>
      <w:r w:rsidRPr="005C6D34">
        <w:rPr>
          <w:rFonts w:cstheme="minorHAnsi"/>
          <w:b/>
          <w:sz w:val="24"/>
          <w:szCs w:val="24"/>
        </w:rPr>
        <w:br w:type="page"/>
      </w:r>
    </w:p>
    <w:p w14:paraId="50D191B7" w14:textId="50E632BA" w:rsidR="00D96A75" w:rsidRPr="005C6D34" w:rsidRDefault="00D96A75" w:rsidP="000A687F">
      <w:pPr>
        <w:pStyle w:val="ListParagraph"/>
        <w:numPr>
          <w:ilvl w:val="0"/>
          <w:numId w:val="5"/>
        </w:numPr>
        <w:spacing w:line="360" w:lineRule="auto"/>
        <w:rPr>
          <w:rFonts w:cstheme="minorHAnsi"/>
          <w:b/>
          <w:sz w:val="24"/>
          <w:szCs w:val="24"/>
        </w:rPr>
      </w:pPr>
      <w:r w:rsidRPr="005C6D34">
        <w:rPr>
          <w:rFonts w:cstheme="minorHAnsi"/>
          <w:b/>
          <w:sz w:val="24"/>
          <w:szCs w:val="24"/>
        </w:rPr>
        <w:lastRenderedPageBreak/>
        <w:t>Introduction</w:t>
      </w:r>
    </w:p>
    <w:p w14:paraId="12CFF99E" w14:textId="35468EEE" w:rsidR="00D96A75" w:rsidRPr="005C6D34" w:rsidRDefault="003D4740" w:rsidP="000A687F">
      <w:pPr>
        <w:spacing w:line="360" w:lineRule="auto"/>
        <w:jc w:val="both"/>
        <w:rPr>
          <w:rFonts w:cstheme="minorHAnsi"/>
          <w:sz w:val="24"/>
          <w:szCs w:val="24"/>
        </w:rPr>
      </w:pPr>
      <w:r w:rsidRPr="005C6D34">
        <w:rPr>
          <w:rFonts w:cstheme="minorHAnsi"/>
          <w:sz w:val="24"/>
          <w:szCs w:val="24"/>
        </w:rPr>
        <w:t xml:space="preserve">Various scholars have documented how </w:t>
      </w:r>
      <w:r w:rsidR="00D96A75" w:rsidRPr="005C6D34">
        <w:rPr>
          <w:rFonts w:cstheme="minorHAnsi"/>
          <w:sz w:val="24"/>
          <w:szCs w:val="24"/>
        </w:rPr>
        <w:t>military rule, electoral violence</w:t>
      </w:r>
      <w:r w:rsidRPr="005C6D34">
        <w:rPr>
          <w:rFonts w:cstheme="minorHAnsi"/>
          <w:sz w:val="24"/>
          <w:szCs w:val="24"/>
        </w:rPr>
        <w:t xml:space="preserve"> and </w:t>
      </w:r>
      <w:r w:rsidR="00D96A75" w:rsidRPr="005C6D34">
        <w:rPr>
          <w:rFonts w:cstheme="minorHAnsi"/>
          <w:sz w:val="24"/>
          <w:szCs w:val="24"/>
        </w:rPr>
        <w:t>one</w:t>
      </w:r>
      <w:r w:rsidR="00087427" w:rsidRPr="005C6D34">
        <w:rPr>
          <w:rFonts w:cstheme="minorHAnsi"/>
          <w:sz w:val="24"/>
          <w:szCs w:val="24"/>
        </w:rPr>
        <w:t>-</w:t>
      </w:r>
      <w:r w:rsidR="00D96A75" w:rsidRPr="005C6D34">
        <w:rPr>
          <w:rFonts w:cstheme="minorHAnsi"/>
          <w:sz w:val="24"/>
          <w:szCs w:val="24"/>
        </w:rPr>
        <w:t xml:space="preserve">party dictatorships </w:t>
      </w:r>
      <w:r w:rsidRPr="005C6D34">
        <w:rPr>
          <w:rFonts w:cstheme="minorHAnsi"/>
          <w:sz w:val="24"/>
          <w:szCs w:val="24"/>
        </w:rPr>
        <w:t>have</w:t>
      </w:r>
      <w:r w:rsidR="00D96A75" w:rsidRPr="005C6D34">
        <w:rPr>
          <w:rFonts w:cstheme="minorHAnsi"/>
          <w:sz w:val="24"/>
          <w:szCs w:val="24"/>
        </w:rPr>
        <w:t xml:space="preserve"> shape</w:t>
      </w:r>
      <w:r w:rsidRPr="005C6D34">
        <w:rPr>
          <w:rFonts w:cstheme="minorHAnsi"/>
          <w:sz w:val="24"/>
          <w:szCs w:val="24"/>
        </w:rPr>
        <w:t>d</w:t>
      </w:r>
      <w:r w:rsidR="00D96A75" w:rsidRPr="005C6D34">
        <w:rPr>
          <w:rFonts w:cstheme="minorHAnsi"/>
          <w:sz w:val="24"/>
          <w:szCs w:val="24"/>
        </w:rPr>
        <w:t xml:space="preserve"> elections </w:t>
      </w:r>
      <w:r w:rsidRPr="005C6D34">
        <w:rPr>
          <w:rFonts w:cstheme="minorHAnsi"/>
          <w:sz w:val="24"/>
          <w:szCs w:val="24"/>
        </w:rPr>
        <w:t>in Africa</w:t>
      </w:r>
      <w:r w:rsidR="00D96A75" w:rsidRPr="005C6D34">
        <w:rPr>
          <w:rFonts w:cstheme="minorHAnsi"/>
          <w:sz w:val="24"/>
          <w:szCs w:val="24"/>
        </w:rPr>
        <w:t xml:space="preserve"> (Adigun</w:t>
      </w:r>
      <w:r w:rsidRPr="005C6D34">
        <w:rPr>
          <w:rFonts w:cstheme="minorHAnsi"/>
          <w:sz w:val="24"/>
          <w:szCs w:val="24"/>
        </w:rPr>
        <w:t>,</w:t>
      </w:r>
      <w:r w:rsidR="00D96A75" w:rsidRPr="005C6D34">
        <w:rPr>
          <w:rFonts w:cstheme="minorHAnsi"/>
          <w:sz w:val="24"/>
          <w:szCs w:val="24"/>
        </w:rPr>
        <w:t xml:space="preserve"> 2020; </w:t>
      </w:r>
      <w:proofErr w:type="spellStart"/>
      <w:r w:rsidR="00D96A75" w:rsidRPr="005C6D34">
        <w:rPr>
          <w:rFonts w:cstheme="minorHAnsi"/>
          <w:sz w:val="24"/>
          <w:szCs w:val="24"/>
        </w:rPr>
        <w:t>Szayna</w:t>
      </w:r>
      <w:proofErr w:type="spellEnd"/>
      <w:r w:rsidR="00D96A75" w:rsidRPr="005C6D34">
        <w:rPr>
          <w:rFonts w:cstheme="minorHAnsi"/>
          <w:sz w:val="24"/>
          <w:szCs w:val="24"/>
        </w:rPr>
        <w:t xml:space="preserve">, </w:t>
      </w:r>
      <w:proofErr w:type="spellStart"/>
      <w:r w:rsidR="00D96A75" w:rsidRPr="005C6D34">
        <w:rPr>
          <w:rFonts w:cstheme="minorHAnsi"/>
          <w:sz w:val="24"/>
          <w:szCs w:val="24"/>
        </w:rPr>
        <w:t>O</w:t>
      </w:r>
      <w:r w:rsidR="00A03141" w:rsidRPr="005C6D34">
        <w:rPr>
          <w:rFonts w:cstheme="minorHAnsi"/>
          <w:sz w:val="24"/>
          <w:szCs w:val="24"/>
        </w:rPr>
        <w:t>’</w:t>
      </w:r>
      <w:r w:rsidR="00D96A75" w:rsidRPr="005C6D34">
        <w:rPr>
          <w:rFonts w:cstheme="minorHAnsi"/>
          <w:sz w:val="24"/>
          <w:szCs w:val="24"/>
        </w:rPr>
        <w:t>Mahony</w:t>
      </w:r>
      <w:proofErr w:type="spellEnd"/>
      <w:r w:rsidR="00D96A75" w:rsidRPr="005C6D34">
        <w:rPr>
          <w:rFonts w:cstheme="minorHAnsi"/>
          <w:sz w:val="24"/>
          <w:szCs w:val="24"/>
        </w:rPr>
        <w:t xml:space="preserve">, Kavanagh, Watts, Frederick, </w:t>
      </w:r>
      <w:proofErr w:type="spellStart"/>
      <w:r w:rsidR="00D96A75" w:rsidRPr="005C6D34">
        <w:rPr>
          <w:rFonts w:cstheme="minorHAnsi"/>
          <w:sz w:val="24"/>
          <w:szCs w:val="24"/>
        </w:rPr>
        <w:t>Norlen</w:t>
      </w:r>
      <w:proofErr w:type="spellEnd"/>
      <w:r w:rsidR="00D96A75" w:rsidRPr="005C6D34">
        <w:rPr>
          <w:rFonts w:cstheme="minorHAnsi"/>
          <w:sz w:val="24"/>
          <w:szCs w:val="24"/>
        </w:rPr>
        <w:t xml:space="preserve"> &amp; Voorhies</w:t>
      </w:r>
      <w:r w:rsidRPr="005C6D34">
        <w:rPr>
          <w:rFonts w:cstheme="minorHAnsi"/>
          <w:sz w:val="24"/>
          <w:szCs w:val="24"/>
        </w:rPr>
        <w:t>,</w:t>
      </w:r>
      <w:r w:rsidR="00D96A75" w:rsidRPr="005C6D34">
        <w:rPr>
          <w:rFonts w:cstheme="minorHAnsi"/>
          <w:sz w:val="24"/>
          <w:szCs w:val="24"/>
        </w:rPr>
        <w:t xml:space="preserve"> 2017; Collier &amp; Vicente</w:t>
      </w:r>
      <w:r w:rsidRPr="005C6D34">
        <w:rPr>
          <w:rFonts w:cstheme="minorHAnsi"/>
          <w:sz w:val="24"/>
          <w:szCs w:val="24"/>
        </w:rPr>
        <w:t>,</w:t>
      </w:r>
      <w:r w:rsidR="00D96A75" w:rsidRPr="005C6D34">
        <w:rPr>
          <w:rFonts w:cstheme="minorHAnsi"/>
          <w:sz w:val="24"/>
          <w:szCs w:val="24"/>
        </w:rPr>
        <w:t xml:space="preserve"> 2014; Collier</w:t>
      </w:r>
      <w:r w:rsidRPr="005C6D34">
        <w:rPr>
          <w:rFonts w:cstheme="minorHAnsi"/>
          <w:sz w:val="24"/>
          <w:szCs w:val="24"/>
        </w:rPr>
        <w:t>,</w:t>
      </w:r>
      <w:r w:rsidR="00D96A75" w:rsidRPr="005C6D34">
        <w:rPr>
          <w:rFonts w:cstheme="minorHAnsi"/>
          <w:sz w:val="24"/>
          <w:szCs w:val="24"/>
        </w:rPr>
        <w:t xml:space="preserve"> 2009; </w:t>
      </w:r>
      <w:proofErr w:type="spellStart"/>
      <w:r w:rsidR="00D96A75" w:rsidRPr="005C6D34">
        <w:rPr>
          <w:rFonts w:cstheme="minorHAnsi"/>
          <w:sz w:val="24"/>
          <w:szCs w:val="24"/>
        </w:rPr>
        <w:t>Siollun</w:t>
      </w:r>
      <w:proofErr w:type="spellEnd"/>
      <w:r w:rsidRPr="005C6D34">
        <w:rPr>
          <w:rFonts w:cstheme="minorHAnsi"/>
          <w:sz w:val="24"/>
          <w:szCs w:val="24"/>
        </w:rPr>
        <w:t>,</w:t>
      </w:r>
      <w:r w:rsidR="00D96A75" w:rsidRPr="005C6D34">
        <w:rPr>
          <w:rFonts w:cstheme="minorHAnsi"/>
          <w:sz w:val="24"/>
          <w:szCs w:val="24"/>
        </w:rPr>
        <w:t xml:space="preserve"> 2009, 2013; </w:t>
      </w:r>
      <w:proofErr w:type="spellStart"/>
      <w:r w:rsidR="00D96A75" w:rsidRPr="005C6D34">
        <w:rPr>
          <w:rFonts w:cstheme="minorHAnsi"/>
          <w:sz w:val="24"/>
          <w:szCs w:val="24"/>
        </w:rPr>
        <w:t>Kellow</w:t>
      </w:r>
      <w:proofErr w:type="spellEnd"/>
      <w:r w:rsidRPr="005C6D34">
        <w:rPr>
          <w:rFonts w:cstheme="minorHAnsi"/>
          <w:sz w:val="24"/>
          <w:szCs w:val="24"/>
        </w:rPr>
        <w:t>,</w:t>
      </w:r>
      <w:r w:rsidR="00D96A75" w:rsidRPr="005C6D34">
        <w:rPr>
          <w:rFonts w:cstheme="minorHAnsi"/>
          <w:sz w:val="24"/>
          <w:szCs w:val="24"/>
        </w:rPr>
        <w:t xml:space="preserve"> 2010)</w:t>
      </w:r>
      <w:r w:rsidRPr="005C6D34">
        <w:rPr>
          <w:rFonts w:cstheme="minorHAnsi"/>
          <w:sz w:val="24"/>
          <w:szCs w:val="24"/>
        </w:rPr>
        <w:t>.</w:t>
      </w:r>
      <w:r w:rsidR="00D96A75" w:rsidRPr="005C6D34">
        <w:rPr>
          <w:rFonts w:cstheme="minorHAnsi"/>
          <w:sz w:val="24"/>
          <w:szCs w:val="24"/>
        </w:rPr>
        <w:t xml:space="preserve"> </w:t>
      </w:r>
      <w:r w:rsidRPr="005C6D34">
        <w:rPr>
          <w:rFonts w:cstheme="minorHAnsi"/>
          <w:sz w:val="24"/>
          <w:szCs w:val="24"/>
        </w:rPr>
        <w:t>T</w:t>
      </w:r>
      <w:r w:rsidR="00D96A75" w:rsidRPr="005C6D34">
        <w:rPr>
          <w:rFonts w:cstheme="minorHAnsi"/>
          <w:sz w:val="24"/>
          <w:szCs w:val="24"/>
        </w:rPr>
        <w:t xml:space="preserve">here has been less emphasis on the role of </w:t>
      </w:r>
      <w:r w:rsidR="00CF03EB" w:rsidRPr="005C6D34">
        <w:rPr>
          <w:rFonts w:cstheme="minorHAnsi"/>
          <w:sz w:val="24"/>
          <w:szCs w:val="24"/>
        </w:rPr>
        <w:t>socio</w:t>
      </w:r>
      <w:r w:rsidR="00087427" w:rsidRPr="005C6D34">
        <w:rPr>
          <w:rFonts w:cstheme="minorHAnsi"/>
          <w:sz w:val="24"/>
          <w:szCs w:val="24"/>
        </w:rPr>
        <w:t>-</w:t>
      </w:r>
      <w:r w:rsidR="00CF03EB" w:rsidRPr="005C6D34">
        <w:rPr>
          <w:rFonts w:cstheme="minorHAnsi"/>
          <w:sz w:val="24"/>
          <w:szCs w:val="24"/>
        </w:rPr>
        <w:t xml:space="preserve">economic factors </w:t>
      </w:r>
      <w:r w:rsidR="00D96A75" w:rsidRPr="005C6D34">
        <w:rPr>
          <w:rFonts w:cstheme="minorHAnsi"/>
          <w:sz w:val="24"/>
          <w:szCs w:val="24"/>
        </w:rPr>
        <w:t xml:space="preserve">and digital space. </w:t>
      </w:r>
      <w:r w:rsidR="00A569F0" w:rsidRPr="005C6D34">
        <w:rPr>
          <w:rFonts w:cstheme="minorHAnsi"/>
          <w:sz w:val="24"/>
          <w:szCs w:val="24"/>
        </w:rPr>
        <w:t>It was only after the</w:t>
      </w:r>
      <w:r w:rsidR="00D96A75" w:rsidRPr="005C6D34">
        <w:rPr>
          <w:rFonts w:cstheme="minorHAnsi"/>
          <w:sz w:val="24"/>
          <w:szCs w:val="24"/>
        </w:rPr>
        <w:t xml:space="preserve"> Arab Spring</w:t>
      </w:r>
      <w:r w:rsidR="00A569F0" w:rsidRPr="005C6D34">
        <w:rPr>
          <w:rFonts w:cstheme="minorHAnsi"/>
          <w:sz w:val="24"/>
          <w:szCs w:val="24"/>
        </w:rPr>
        <w:t xml:space="preserve"> that </w:t>
      </w:r>
      <w:r w:rsidR="00D96A75" w:rsidRPr="005C6D34">
        <w:rPr>
          <w:rFonts w:cstheme="minorHAnsi"/>
          <w:sz w:val="24"/>
          <w:szCs w:val="24"/>
        </w:rPr>
        <w:t>scholars beg</w:t>
      </w:r>
      <w:r w:rsidR="00087427" w:rsidRPr="005C6D34">
        <w:rPr>
          <w:rFonts w:cstheme="minorHAnsi"/>
          <w:sz w:val="24"/>
          <w:szCs w:val="24"/>
        </w:rPr>
        <w:t>a</w:t>
      </w:r>
      <w:r w:rsidR="00D96A75" w:rsidRPr="005C6D34">
        <w:rPr>
          <w:rFonts w:cstheme="minorHAnsi"/>
          <w:sz w:val="24"/>
          <w:szCs w:val="24"/>
        </w:rPr>
        <w:t>n</w:t>
      </w:r>
      <w:r w:rsidR="00A569F0" w:rsidRPr="005C6D34">
        <w:rPr>
          <w:rFonts w:cstheme="minorHAnsi"/>
          <w:sz w:val="24"/>
          <w:szCs w:val="24"/>
        </w:rPr>
        <w:t xml:space="preserve"> to study</w:t>
      </w:r>
      <w:r w:rsidR="00D96A75" w:rsidRPr="005C6D34">
        <w:rPr>
          <w:rFonts w:cstheme="minorHAnsi"/>
          <w:sz w:val="24"/>
          <w:szCs w:val="24"/>
        </w:rPr>
        <w:t xml:space="preserve"> social media as</w:t>
      </w:r>
      <w:r w:rsidR="00A569F0" w:rsidRPr="005C6D34">
        <w:rPr>
          <w:rFonts w:cstheme="minorHAnsi"/>
          <w:sz w:val="24"/>
          <w:szCs w:val="24"/>
        </w:rPr>
        <w:t xml:space="preserve"> an</w:t>
      </w:r>
      <w:r w:rsidR="00D96A75" w:rsidRPr="005C6D34">
        <w:rPr>
          <w:rFonts w:cstheme="minorHAnsi"/>
          <w:sz w:val="24"/>
          <w:szCs w:val="24"/>
        </w:rPr>
        <w:t xml:space="preserve"> effective tool for </w:t>
      </w:r>
      <w:r w:rsidR="003F105F" w:rsidRPr="005C6D34">
        <w:rPr>
          <w:rFonts w:cstheme="minorHAnsi"/>
          <w:sz w:val="24"/>
          <w:szCs w:val="24"/>
        </w:rPr>
        <w:t>African political mobilisation</w:t>
      </w:r>
      <w:r w:rsidR="00D96A75" w:rsidRPr="005C6D34">
        <w:rPr>
          <w:rFonts w:cstheme="minorHAnsi"/>
          <w:sz w:val="24"/>
          <w:szCs w:val="24"/>
        </w:rPr>
        <w:t xml:space="preserve"> (Breuer</w:t>
      </w:r>
      <w:r w:rsidR="00087427" w:rsidRPr="005C6D34">
        <w:rPr>
          <w:rFonts w:cstheme="minorHAnsi"/>
          <w:sz w:val="24"/>
          <w:szCs w:val="24"/>
        </w:rPr>
        <w:t>,</w:t>
      </w:r>
      <w:r w:rsidR="00D96A75" w:rsidRPr="005C6D34">
        <w:rPr>
          <w:rFonts w:cstheme="minorHAnsi"/>
          <w:sz w:val="24"/>
          <w:szCs w:val="24"/>
        </w:rPr>
        <w:t xml:space="preserve"> 2012).</w:t>
      </w:r>
    </w:p>
    <w:p w14:paraId="7506E112" w14:textId="66EB7F60" w:rsidR="00D96A75" w:rsidRPr="005C6D34" w:rsidRDefault="00D96A75" w:rsidP="000A687F">
      <w:pPr>
        <w:spacing w:line="360" w:lineRule="auto"/>
        <w:jc w:val="both"/>
        <w:rPr>
          <w:rFonts w:cstheme="minorHAnsi"/>
          <w:sz w:val="24"/>
          <w:szCs w:val="24"/>
        </w:rPr>
      </w:pPr>
      <w:r w:rsidRPr="005C6D34">
        <w:rPr>
          <w:rFonts w:cstheme="minorHAnsi"/>
          <w:sz w:val="24"/>
          <w:szCs w:val="24"/>
        </w:rPr>
        <w:t xml:space="preserve">African states were under military </w:t>
      </w:r>
      <w:r w:rsidR="000A2A43" w:rsidRPr="005C6D34">
        <w:rPr>
          <w:rFonts w:cstheme="minorHAnsi"/>
          <w:sz w:val="24"/>
          <w:szCs w:val="24"/>
        </w:rPr>
        <w:t xml:space="preserve">rule </w:t>
      </w:r>
      <w:r w:rsidRPr="005C6D34">
        <w:rPr>
          <w:rFonts w:cstheme="minorHAnsi"/>
          <w:sz w:val="24"/>
          <w:szCs w:val="24"/>
        </w:rPr>
        <w:t>or one</w:t>
      </w:r>
      <w:r w:rsidR="00087427" w:rsidRPr="005C6D34">
        <w:rPr>
          <w:rFonts w:cstheme="minorHAnsi"/>
          <w:sz w:val="24"/>
          <w:szCs w:val="24"/>
        </w:rPr>
        <w:t>-</w:t>
      </w:r>
      <w:r w:rsidRPr="005C6D34">
        <w:rPr>
          <w:rFonts w:cstheme="minorHAnsi"/>
          <w:sz w:val="24"/>
          <w:szCs w:val="24"/>
        </w:rPr>
        <w:t>party dictatorship</w:t>
      </w:r>
      <w:r w:rsidR="00087427" w:rsidRPr="005C6D34">
        <w:rPr>
          <w:rFonts w:cstheme="minorHAnsi"/>
          <w:sz w:val="24"/>
          <w:szCs w:val="24"/>
        </w:rPr>
        <w:t>s</w:t>
      </w:r>
      <w:r w:rsidRPr="005C6D34">
        <w:rPr>
          <w:rFonts w:cstheme="minorHAnsi"/>
          <w:sz w:val="24"/>
          <w:szCs w:val="24"/>
        </w:rPr>
        <w:t xml:space="preserve"> in the 1970s </w:t>
      </w:r>
      <w:r w:rsidR="00087427" w:rsidRPr="005C6D34">
        <w:rPr>
          <w:rFonts w:cstheme="minorHAnsi"/>
          <w:sz w:val="24"/>
          <w:szCs w:val="24"/>
        </w:rPr>
        <w:t>and</w:t>
      </w:r>
      <w:r w:rsidRPr="005C6D34">
        <w:rPr>
          <w:rFonts w:cstheme="minorHAnsi"/>
          <w:sz w:val="24"/>
          <w:szCs w:val="24"/>
        </w:rPr>
        <w:t xml:space="preserve"> 1980s, </w:t>
      </w:r>
      <w:r w:rsidR="000A2A43" w:rsidRPr="005C6D34">
        <w:rPr>
          <w:rFonts w:cstheme="minorHAnsi"/>
          <w:sz w:val="24"/>
          <w:szCs w:val="24"/>
        </w:rPr>
        <w:t>making</w:t>
      </w:r>
      <w:r w:rsidRPr="005C6D34">
        <w:rPr>
          <w:rFonts w:cstheme="minorHAnsi"/>
          <w:sz w:val="24"/>
          <w:szCs w:val="24"/>
        </w:rPr>
        <w:t xml:space="preserve"> conducting elections </w:t>
      </w:r>
      <w:r w:rsidR="00491600" w:rsidRPr="005C6D34">
        <w:rPr>
          <w:rFonts w:cstheme="minorHAnsi"/>
          <w:sz w:val="24"/>
          <w:szCs w:val="24"/>
        </w:rPr>
        <w:t xml:space="preserve">challenging </w:t>
      </w:r>
      <w:r w:rsidRPr="005C6D34">
        <w:rPr>
          <w:rFonts w:cstheme="minorHAnsi"/>
          <w:sz w:val="24"/>
          <w:szCs w:val="24"/>
        </w:rPr>
        <w:t xml:space="preserve">in the face of severe economic </w:t>
      </w:r>
      <w:r w:rsidR="00F95A48" w:rsidRPr="005C6D34">
        <w:rPr>
          <w:rFonts w:cstheme="minorHAnsi"/>
          <w:sz w:val="24"/>
          <w:szCs w:val="24"/>
        </w:rPr>
        <w:t>crises</w:t>
      </w:r>
      <w:r w:rsidRPr="005C6D34">
        <w:rPr>
          <w:rFonts w:cstheme="minorHAnsi"/>
          <w:sz w:val="24"/>
          <w:szCs w:val="24"/>
        </w:rPr>
        <w:t xml:space="preserve"> </w:t>
      </w:r>
      <w:r w:rsidR="00087427" w:rsidRPr="005C6D34">
        <w:rPr>
          <w:rFonts w:cstheme="minorHAnsi"/>
          <w:sz w:val="24"/>
          <w:szCs w:val="24"/>
        </w:rPr>
        <w:t>and</w:t>
      </w:r>
      <w:r w:rsidRPr="005C6D34">
        <w:rPr>
          <w:rFonts w:cstheme="minorHAnsi"/>
          <w:sz w:val="24"/>
          <w:szCs w:val="24"/>
        </w:rPr>
        <w:t xml:space="preserve"> state</w:t>
      </w:r>
      <w:r w:rsidR="00087427" w:rsidRPr="005C6D34">
        <w:rPr>
          <w:rFonts w:cstheme="minorHAnsi"/>
          <w:sz w:val="24"/>
          <w:szCs w:val="24"/>
        </w:rPr>
        <w:t>-</w:t>
      </w:r>
      <w:r w:rsidR="00C43E0A" w:rsidRPr="005C6D34">
        <w:rPr>
          <w:rFonts w:cstheme="minorHAnsi"/>
          <w:sz w:val="24"/>
          <w:szCs w:val="24"/>
        </w:rPr>
        <w:t>controlled media</w:t>
      </w:r>
      <w:r w:rsidRPr="005C6D34">
        <w:rPr>
          <w:rFonts w:cstheme="minorHAnsi"/>
          <w:sz w:val="24"/>
          <w:szCs w:val="24"/>
        </w:rPr>
        <w:t xml:space="preserve">. </w:t>
      </w:r>
      <w:r w:rsidR="000A2A43" w:rsidRPr="005C6D34">
        <w:rPr>
          <w:rFonts w:cstheme="minorHAnsi"/>
          <w:sz w:val="24"/>
          <w:szCs w:val="24"/>
        </w:rPr>
        <w:t xml:space="preserve">Due to </w:t>
      </w:r>
      <w:r w:rsidR="00087427" w:rsidRPr="005C6D34">
        <w:rPr>
          <w:rFonts w:cstheme="minorHAnsi"/>
          <w:sz w:val="24"/>
          <w:szCs w:val="24"/>
        </w:rPr>
        <w:t>Western pressures</w:t>
      </w:r>
      <w:r w:rsidR="000A2A43" w:rsidRPr="005C6D34">
        <w:rPr>
          <w:rFonts w:cstheme="minorHAnsi"/>
          <w:sz w:val="24"/>
          <w:szCs w:val="24"/>
        </w:rPr>
        <w:t xml:space="preserve"> for democracy to return, </w:t>
      </w:r>
      <w:r w:rsidRPr="005C6D34">
        <w:rPr>
          <w:rFonts w:cstheme="minorHAnsi"/>
          <w:sz w:val="24"/>
          <w:szCs w:val="24"/>
        </w:rPr>
        <w:t xml:space="preserve">dictators became </w:t>
      </w:r>
      <w:r w:rsidR="000A2A43" w:rsidRPr="005C6D34">
        <w:rPr>
          <w:rFonts w:cstheme="minorHAnsi"/>
          <w:sz w:val="24"/>
          <w:szCs w:val="24"/>
        </w:rPr>
        <w:t xml:space="preserve">difficult </w:t>
      </w:r>
      <w:r w:rsidRPr="005C6D34">
        <w:rPr>
          <w:rFonts w:cstheme="minorHAnsi"/>
          <w:sz w:val="24"/>
          <w:szCs w:val="24"/>
        </w:rPr>
        <w:t>to remove</w:t>
      </w:r>
      <w:r w:rsidR="002F369E" w:rsidRPr="005C6D34">
        <w:rPr>
          <w:rFonts w:cstheme="minorHAnsi"/>
          <w:sz w:val="24"/>
          <w:szCs w:val="24"/>
        </w:rPr>
        <w:t>,</w:t>
      </w:r>
      <w:r w:rsidRPr="005C6D34">
        <w:rPr>
          <w:rFonts w:cstheme="minorHAnsi"/>
          <w:sz w:val="24"/>
          <w:szCs w:val="24"/>
        </w:rPr>
        <w:t xml:space="preserve"> </w:t>
      </w:r>
      <w:r w:rsidR="00087427" w:rsidRPr="005C6D34">
        <w:rPr>
          <w:rFonts w:cstheme="minorHAnsi"/>
          <w:sz w:val="24"/>
          <w:szCs w:val="24"/>
        </w:rPr>
        <w:t>and</w:t>
      </w:r>
      <w:r w:rsidRPr="005C6D34">
        <w:rPr>
          <w:rFonts w:cstheme="minorHAnsi"/>
          <w:sz w:val="24"/>
          <w:szCs w:val="24"/>
        </w:rPr>
        <w:t xml:space="preserve"> </w:t>
      </w:r>
      <w:r w:rsidR="000A2A43" w:rsidRPr="005C6D34">
        <w:rPr>
          <w:rFonts w:cstheme="minorHAnsi"/>
          <w:sz w:val="24"/>
          <w:szCs w:val="24"/>
        </w:rPr>
        <w:t xml:space="preserve">their economies became </w:t>
      </w:r>
      <w:r w:rsidR="00951036" w:rsidRPr="005C6D34">
        <w:rPr>
          <w:rFonts w:cstheme="minorHAnsi"/>
          <w:sz w:val="24"/>
          <w:szCs w:val="24"/>
        </w:rPr>
        <w:t>uncertain</w:t>
      </w:r>
      <w:r w:rsidR="005E2FC2" w:rsidRPr="005C6D34">
        <w:rPr>
          <w:rFonts w:cstheme="minorHAnsi"/>
          <w:sz w:val="24"/>
          <w:szCs w:val="24"/>
        </w:rPr>
        <w:t xml:space="preserve"> (Riley, 1992</w:t>
      </w:r>
      <w:r w:rsidR="00E875B2" w:rsidRPr="005C6D34">
        <w:rPr>
          <w:rFonts w:cstheme="minorHAnsi"/>
          <w:sz w:val="24"/>
          <w:szCs w:val="24"/>
        </w:rPr>
        <w:t xml:space="preserve">; </w:t>
      </w:r>
      <w:proofErr w:type="spellStart"/>
      <w:r w:rsidR="00E875B2" w:rsidRPr="005C6D34">
        <w:rPr>
          <w:rFonts w:cstheme="minorHAnsi"/>
          <w:sz w:val="24"/>
          <w:szCs w:val="24"/>
        </w:rPr>
        <w:t>Tella</w:t>
      </w:r>
      <w:proofErr w:type="spellEnd"/>
      <w:r w:rsidR="00E875B2" w:rsidRPr="005C6D34">
        <w:rPr>
          <w:rFonts w:cstheme="minorHAnsi"/>
          <w:sz w:val="24"/>
          <w:szCs w:val="24"/>
        </w:rPr>
        <w:t>, 2022</w:t>
      </w:r>
      <w:r w:rsidR="00074E94" w:rsidRPr="005C6D34">
        <w:rPr>
          <w:rFonts w:cstheme="minorHAnsi"/>
          <w:sz w:val="24"/>
          <w:szCs w:val="24"/>
        </w:rPr>
        <w:t>)</w:t>
      </w:r>
      <w:r w:rsidRPr="005C6D34">
        <w:rPr>
          <w:rFonts w:cstheme="minorHAnsi"/>
          <w:sz w:val="24"/>
          <w:szCs w:val="24"/>
        </w:rPr>
        <w:t xml:space="preserve">. </w:t>
      </w:r>
      <w:r w:rsidR="000A2A43" w:rsidRPr="005C6D34">
        <w:rPr>
          <w:rFonts w:cstheme="minorHAnsi"/>
          <w:sz w:val="24"/>
          <w:szCs w:val="24"/>
        </w:rPr>
        <w:t xml:space="preserve">There is no objective way to measure the impacts of </w:t>
      </w:r>
      <w:r w:rsidR="007F435E" w:rsidRPr="005C6D34">
        <w:rPr>
          <w:rFonts w:cstheme="minorHAnsi"/>
          <w:sz w:val="24"/>
          <w:szCs w:val="24"/>
        </w:rPr>
        <w:t xml:space="preserve">socio-economic </w:t>
      </w:r>
      <w:r w:rsidR="000A2A43" w:rsidRPr="005C6D34">
        <w:rPr>
          <w:rFonts w:cstheme="minorHAnsi"/>
          <w:sz w:val="24"/>
          <w:szCs w:val="24"/>
        </w:rPr>
        <w:t>factors on these developments, e</w:t>
      </w:r>
      <w:r w:rsidRPr="005C6D34">
        <w:rPr>
          <w:rFonts w:cstheme="minorHAnsi"/>
          <w:sz w:val="24"/>
          <w:szCs w:val="24"/>
        </w:rPr>
        <w:t xml:space="preserve">ven though Nigeria (2015), Benin Republic (2016), Ghana (2016), Gambia (2017), Angola (2017), Ethiopia (2018), South Africa (2018), Sudan (2019) </w:t>
      </w:r>
      <w:r w:rsidR="00087427" w:rsidRPr="005C6D34">
        <w:rPr>
          <w:rFonts w:cstheme="minorHAnsi"/>
          <w:sz w:val="24"/>
          <w:szCs w:val="24"/>
        </w:rPr>
        <w:t>and</w:t>
      </w:r>
      <w:r w:rsidRPr="005C6D34">
        <w:rPr>
          <w:rFonts w:cstheme="minorHAnsi"/>
          <w:sz w:val="24"/>
          <w:szCs w:val="24"/>
        </w:rPr>
        <w:t xml:space="preserve"> Zimbabwe (2018) all experienced peaceful democratic transitions hitherto </w:t>
      </w:r>
      <w:r w:rsidR="000A2A43" w:rsidRPr="005C6D34">
        <w:rPr>
          <w:rFonts w:cstheme="minorHAnsi"/>
          <w:sz w:val="24"/>
          <w:szCs w:val="24"/>
        </w:rPr>
        <w:t xml:space="preserve">almost </w:t>
      </w:r>
      <w:r w:rsidRPr="005C6D34">
        <w:rPr>
          <w:rFonts w:cstheme="minorHAnsi"/>
          <w:sz w:val="24"/>
          <w:szCs w:val="24"/>
        </w:rPr>
        <w:t>unknown on the continent</w:t>
      </w:r>
      <w:r w:rsidR="000A2A43" w:rsidRPr="005C6D34">
        <w:rPr>
          <w:rFonts w:cstheme="minorHAnsi"/>
          <w:sz w:val="24"/>
          <w:szCs w:val="24"/>
        </w:rPr>
        <w:t>.</w:t>
      </w:r>
    </w:p>
    <w:p w14:paraId="23F55D3C" w14:textId="0CF908BC" w:rsidR="00D96A75" w:rsidRPr="005C6D34" w:rsidRDefault="00491600" w:rsidP="000A687F">
      <w:pPr>
        <w:spacing w:line="360" w:lineRule="auto"/>
        <w:jc w:val="both"/>
        <w:rPr>
          <w:rFonts w:cstheme="minorHAnsi"/>
          <w:sz w:val="24"/>
          <w:szCs w:val="24"/>
        </w:rPr>
      </w:pPr>
      <w:r w:rsidRPr="005C6D34">
        <w:rPr>
          <w:rFonts w:cstheme="minorHAnsi"/>
          <w:sz w:val="24"/>
          <w:szCs w:val="24"/>
        </w:rPr>
        <w:t xml:space="preserve">Things appeared to change with the return of democracy to African capitals in the 1990s. </w:t>
      </w:r>
      <w:r w:rsidR="00D96A75" w:rsidRPr="005C6D34">
        <w:rPr>
          <w:rFonts w:cstheme="minorHAnsi"/>
          <w:sz w:val="24"/>
          <w:szCs w:val="24"/>
        </w:rPr>
        <w:t xml:space="preserve">Nigeria saw the return of constitutional democracy in 1999. Since then, the country has had six rounds of general elections. </w:t>
      </w:r>
      <w:r w:rsidRPr="005C6D34">
        <w:rPr>
          <w:rFonts w:cstheme="minorHAnsi"/>
          <w:sz w:val="24"/>
          <w:szCs w:val="24"/>
        </w:rPr>
        <w:t>Even though</w:t>
      </w:r>
      <w:r w:rsidR="00011BCB" w:rsidRPr="005C6D34">
        <w:rPr>
          <w:rFonts w:cstheme="minorHAnsi"/>
          <w:sz w:val="24"/>
          <w:szCs w:val="24"/>
        </w:rPr>
        <w:t xml:space="preserve"> critics said</w:t>
      </w:r>
      <w:r w:rsidR="00D96A75" w:rsidRPr="005C6D34">
        <w:rPr>
          <w:rFonts w:cstheme="minorHAnsi"/>
          <w:sz w:val="24"/>
          <w:szCs w:val="24"/>
        </w:rPr>
        <w:t xml:space="preserve"> there </w:t>
      </w:r>
      <w:r w:rsidR="00011BCB" w:rsidRPr="005C6D34">
        <w:rPr>
          <w:rFonts w:cstheme="minorHAnsi"/>
          <w:sz w:val="24"/>
          <w:szCs w:val="24"/>
        </w:rPr>
        <w:t>had been</w:t>
      </w:r>
      <w:r w:rsidR="00D96A75" w:rsidRPr="005C6D34">
        <w:rPr>
          <w:rFonts w:cstheme="minorHAnsi"/>
          <w:sz w:val="24"/>
          <w:szCs w:val="24"/>
        </w:rPr>
        <w:t xml:space="preserve"> severe electoral fraud in the 2003 </w:t>
      </w:r>
      <w:r w:rsidR="00087427" w:rsidRPr="005C6D34">
        <w:rPr>
          <w:rFonts w:cstheme="minorHAnsi"/>
          <w:sz w:val="24"/>
          <w:szCs w:val="24"/>
        </w:rPr>
        <w:t>and</w:t>
      </w:r>
      <w:r w:rsidR="00D96A75" w:rsidRPr="005C6D34">
        <w:rPr>
          <w:rFonts w:cstheme="minorHAnsi"/>
          <w:sz w:val="24"/>
          <w:szCs w:val="24"/>
        </w:rPr>
        <w:t xml:space="preserve"> 2007 presidential elections, the electoral process </w:t>
      </w:r>
      <w:r w:rsidR="00011BCB" w:rsidRPr="005C6D34">
        <w:rPr>
          <w:rFonts w:cstheme="minorHAnsi"/>
          <w:sz w:val="24"/>
          <w:szCs w:val="24"/>
        </w:rPr>
        <w:t xml:space="preserve">appears to have improved </w:t>
      </w:r>
      <w:r w:rsidR="00D96A75" w:rsidRPr="005C6D34">
        <w:rPr>
          <w:rFonts w:cstheme="minorHAnsi"/>
          <w:sz w:val="24"/>
          <w:szCs w:val="24"/>
        </w:rPr>
        <w:t>since 2011. This development has been attributed to the introduction of technolog</w:t>
      </w:r>
      <w:r w:rsidR="00011BCB" w:rsidRPr="005C6D34">
        <w:rPr>
          <w:rFonts w:cstheme="minorHAnsi"/>
          <w:sz w:val="24"/>
          <w:szCs w:val="24"/>
        </w:rPr>
        <w:t>y such as</w:t>
      </w:r>
      <w:r w:rsidR="00D96A75" w:rsidRPr="005C6D34">
        <w:rPr>
          <w:rFonts w:cstheme="minorHAnsi"/>
          <w:sz w:val="24"/>
          <w:szCs w:val="24"/>
        </w:rPr>
        <w:t xml:space="preserve"> smart</w:t>
      </w:r>
      <w:r w:rsidR="00087427" w:rsidRPr="005C6D34">
        <w:rPr>
          <w:rFonts w:cstheme="minorHAnsi"/>
          <w:sz w:val="24"/>
          <w:szCs w:val="24"/>
        </w:rPr>
        <w:t>-</w:t>
      </w:r>
      <w:r w:rsidR="00D96A75" w:rsidRPr="005C6D34">
        <w:rPr>
          <w:rFonts w:cstheme="minorHAnsi"/>
          <w:sz w:val="24"/>
          <w:szCs w:val="24"/>
        </w:rPr>
        <w:t>card readers</w:t>
      </w:r>
      <w:r w:rsidR="00011BCB" w:rsidRPr="005C6D34">
        <w:rPr>
          <w:rFonts w:cstheme="minorHAnsi"/>
          <w:sz w:val="24"/>
          <w:szCs w:val="24"/>
        </w:rPr>
        <w:t xml:space="preserve">, </w:t>
      </w:r>
      <w:r w:rsidR="00D96A75" w:rsidRPr="005C6D34">
        <w:rPr>
          <w:rFonts w:cstheme="minorHAnsi"/>
          <w:sz w:val="24"/>
          <w:szCs w:val="24"/>
        </w:rPr>
        <w:t xml:space="preserve">the Bimodal Voter Accreditation System (BVAS) for elections </w:t>
      </w:r>
      <w:r w:rsidR="00087427" w:rsidRPr="005C6D34">
        <w:rPr>
          <w:rFonts w:cstheme="minorHAnsi"/>
          <w:sz w:val="24"/>
          <w:szCs w:val="24"/>
        </w:rPr>
        <w:t>and</w:t>
      </w:r>
      <w:r w:rsidR="00D96A75" w:rsidRPr="005C6D34">
        <w:rPr>
          <w:rFonts w:cstheme="minorHAnsi"/>
          <w:sz w:val="24"/>
          <w:szCs w:val="24"/>
        </w:rPr>
        <w:t xml:space="preserve"> the use of social media </w:t>
      </w:r>
      <w:r w:rsidR="00011BCB" w:rsidRPr="005C6D34">
        <w:rPr>
          <w:rFonts w:cstheme="minorHAnsi"/>
          <w:sz w:val="24"/>
          <w:szCs w:val="24"/>
        </w:rPr>
        <w:t>to mobilise</w:t>
      </w:r>
      <w:r w:rsidR="00D96A75" w:rsidRPr="005C6D34">
        <w:rPr>
          <w:rFonts w:cstheme="minorHAnsi"/>
          <w:sz w:val="24"/>
          <w:szCs w:val="24"/>
        </w:rPr>
        <w:t xml:space="preserve"> young people</w:t>
      </w:r>
      <w:r w:rsidR="00087427" w:rsidRPr="005C6D34">
        <w:rPr>
          <w:rFonts w:cstheme="minorHAnsi"/>
          <w:sz w:val="24"/>
          <w:szCs w:val="24"/>
        </w:rPr>
        <w:t xml:space="preserve"> (</w:t>
      </w:r>
      <w:proofErr w:type="spellStart"/>
      <w:r w:rsidR="00087427" w:rsidRPr="005C6D34">
        <w:rPr>
          <w:rFonts w:cstheme="minorHAnsi"/>
          <w:sz w:val="24"/>
          <w:szCs w:val="24"/>
        </w:rPr>
        <w:t>Agbu</w:t>
      </w:r>
      <w:proofErr w:type="spellEnd"/>
      <w:r w:rsidR="00087427" w:rsidRPr="005C6D34">
        <w:rPr>
          <w:rFonts w:cstheme="minorHAnsi"/>
          <w:sz w:val="24"/>
          <w:szCs w:val="24"/>
        </w:rPr>
        <w:t>, 2016)</w:t>
      </w:r>
      <w:r w:rsidR="00D96A75" w:rsidRPr="005C6D34">
        <w:rPr>
          <w:rFonts w:cstheme="minorHAnsi"/>
          <w:sz w:val="24"/>
          <w:szCs w:val="24"/>
        </w:rPr>
        <w:t xml:space="preserve">. </w:t>
      </w:r>
      <w:r w:rsidR="00011BCB" w:rsidRPr="005C6D34">
        <w:rPr>
          <w:rFonts w:cstheme="minorHAnsi"/>
          <w:sz w:val="24"/>
          <w:szCs w:val="24"/>
        </w:rPr>
        <w:t xml:space="preserve">Recent studies found that </w:t>
      </w:r>
      <w:r w:rsidR="007F435E" w:rsidRPr="005C6D34">
        <w:rPr>
          <w:rFonts w:cstheme="minorHAnsi"/>
          <w:sz w:val="24"/>
          <w:szCs w:val="24"/>
        </w:rPr>
        <w:t xml:space="preserve">socio-economic </w:t>
      </w:r>
      <w:r w:rsidR="00011BCB" w:rsidRPr="005C6D34">
        <w:rPr>
          <w:rFonts w:cstheme="minorHAnsi"/>
          <w:sz w:val="24"/>
          <w:szCs w:val="24"/>
        </w:rPr>
        <w:t>factors did not shape the outcomes or turnout for the 2019 elections in Nigeria, despite the</w:t>
      </w:r>
      <w:r w:rsidR="00D96A75" w:rsidRPr="005C6D34">
        <w:rPr>
          <w:rFonts w:cstheme="minorHAnsi"/>
          <w:sz w:val="24"/>
          <w:szCs w:val="24"/>
        </w:rPr>
        <w:t xml:space="preserve"> severe socio</w:t>
      </w:r>
      <w:r w:rsidR="00087427" w:rsidRPr="005C6D34">
        <w:rPr>
          <w:rFonts w:cstheme="minorHAnsi"/>
          <w:sz w:val="24"/>
          <w:szCs w:val="24"/>
        </w:rPr>
        <w:t>-</w:t>
      </w:r>
      <w:r w:rsidR="00D96A75" w:rsidRPr="005C6D34">
        <w:rPr>
          <w:rFonts w:cstheme="minorHAnsi"/>
          <w:sz w:val="24"/>
          <w:szCs w:val="24"/>
        </w:rPr>
        <w:t>economic challenges in the country (Adigun 2020). Perhaps, most significant is the seeming prevalence of the leading parties</w:t>
      </w:r>
      <w:r w:rsidR="00A03141" w:rsidRPr="005C6D34">
        <w:rPr>
          <w:rFonts w:cstheme="minorHAnsi"/>
          <w:sz w:val="24"/>
          <w:szCs w:val="24"/>
        </w:rPr>
        <w:t>’</w:t>
      </w:r>
      <w:r w:rsidR="00D96A75" w:rsidRPr="005C6D34">
        <w:rPr>
          <w:rFonts w:cstheme="minorHAnsi"/>
          <w:sz w:val="24"/>
          <w:szCs w:val="24"/>
        </w:rPr>
        <w:t xml:space="preserve"> indulgence in vote buying during the elections (ibid).</w:t>
      </w:r>
    </w:p>
    <w:p w14:paraId="202EB63D" w14:textId="7899FA42" w:rsidR="4FA106B2" w:rsidRPr="005C6D34" w:rsidRDefault="00011BCB" w:rsidP="000A687F">
      <w:pPr>
        <w:spacing w:line="360" w:lineRule="auto"/>
        <w:jc w:val="both"/>
        <w:rPr>
          <w:rFonts w:cstheme="minorHAnsi"/>
          <w:sz w:val="24"/>
          <w:szCs w:val="24"/>
        </w:rPr>
      </w:pPr>
      <w:r w:rsidRPr="005C6D34">
        <w:rPr>
          <w:rFonts w:cstheme="minorHAnsi"/>
          <w:sz w:val="24"/>
          <w:szCs w:val="24"/>
        </w:rPr>
        <w:t>P</w:t>
      </w:r>
      <w:r w:rsidR="4FA106B2" w:rsidRPr="005C6D34">
        <w:rPr>
          <w:rFonts w:cstheme="minorHAnsi"/>
          <w:sz w:val="24"/>
          <w:szCs w:val="24"/>
        </w:rPr>
        <w:t xml:space="preserve">revious studies </w:t>
      </w:r>
      <w:r w:rsidR="00087427" w:rsidRPr="005C6D34">
        <w:rPr>
          <w:rFonts w:cstheme="minorHAnsi"/>
          <w:sz w:val="24"/>
          <w:szCs w:val="24"/>
        </w:rPr>
        <w:t xml:space="preserve">have </w:t>
      </w:r>
      <w:r w:rsidR="4FA106B2" w:rsidRPr="005C6D34">
        <w:rPr>
          <w:rFonts w:cstheme="minorHAnsi"/>
          <w:sz w:val="24"/>
          <w:szCs w:val="24"/>
        </w:rPr>
        <w:t>suffer</w:t>
      </w:r>
      <w:r w:rsidR="00087427" w:rsidRPr="005C6D34">
        <w:rPr>
          <w:rFonts w:cstheme="minorHAnsi"/>
          <w:sz w:val="24"/>
          <w:szCs w:val="24"/>
        </w:rPr>
        <w:t>ed</w:t>
      </w:r>
      <w:r w:rsidR="4FA106B2" w:rsidRPr="005C6D34">
        <w:rPr>
          <w:rFonts w:cstheme="minorHAnsi"/>
          <w:sz w:val="24"/>
          <w:szCs w:val="24"/>
        </w:rPr>
        <w:t xml:space="preserve"> from one limitation</w:t>
      </w:r>
      <w:r w:rsidRPr="005C6D34">
        <w:rPr>
          <w:rFonts w:cstheme="minorHAnsi"/>
          <w:sz w:val="24"/>
          <w:szCs w:val="24"/>
        </w:rPr>
        <w:t xml:space="preserve"> –</w:t>
      </w:r>
      <w:r w:rsidR="4FA106B2" w:rsidRPr="005C6D34">
        <w:rPr>
          <w:rFonts w:cstheme="minorHAnsi"/>
          <w:sz w:val="24"/>
          <w:szCs w:val="24"/>
        </w:rPr>
        <w:t xml:space="preserve"> excessive aggregation. </w:t>
      </w:r>
      <w:r w:rsidRPr="005C6D34">
        <w:rPr>
          <w:rFonts w:cstheme="minorHAnsi"/>
          <w:sz w:val="24"/>
          <w:szCs w:val="24"/>
        </w:rPr>
        <w:t>They relied</w:t>
      </w:r>
      <w:r w:rsidR="4FA106B2" w:rsidRPr="005C6D34">
        <w:rPr>
          <w:rFonts w:cstheme="minorHAnsi"/>
          <w:sz w:val="24"/>
          <w:szCs w:val="24"/>
        </w:rPr>
        <w:t xml:space="preserve"> on aggregated data </w:t>
      </w:r>
      <w:r w:rsidRPr="005C6D34">
        <w:rPr>
          <w:rFonts w:cstheme="minorHAnsi"/>
          <w:sz w:val="24"/>
          <w:szCs w:val="24"/>
        </w:rPr>
        <w:t xml:space="preserve">such as </w:t>
      </w:r>
      <w:r w:rsidR="4FA106B2" w:rsidRPr="005C6D34">
        <w:rPr>
          <w:rFonts w:cstheme="minorHAnsi"/>
          <w:sz w:val="24"/>
          <w:szCs w:val="24"/>
        </w:rPr>
        <w:t>GDP, unemployment</w:t>
      </w:r>
      <w:r w:rsidRPr="005C6D34">
        <w:rPr>
          <w:rFonts w:cstheme="minorHAnsi"/>
          <w:sz w:val="24"/>
          <w:szCs w:val="24"/>
        </w:rPr>
        <w:t xml:space="preserve"> </w:t>
      </w:r>
      <w:r w:rsidR="00087427" w:rsidRPr="005C6D34">
        <w:rPr>
          <w:rFonts w:cstheme="minorHAnsi"/>
          <w:sz w:val="24"/>
          <w:szCs w:val="24"/>
        </w:rPr>
        <w:t>and</w:t>
      </w:r>
      <w:r w:rsidR="4FA106B2" w:rsidRPr="005C6D34">
        <w:rPr>
          <w:rFonts w:cstheme="minorHAnsi"/>
          <w:sz w:val="24"/>
          <w:szCs w:val="24"/>
        </w:rPr>
        <w:t xml:space="preserve"> election</w:t>
      </w:r>
      <w:r w:rsidRPr="005C6D34">
        <w:rPr>
          <w:rFonts w:cstheme="minorHAnsi"/>
          <w:sz w:val="24"/>
          <w:szCs w:val="24"/>
        </w:rPr>
        <w:t xml:space="preserve"> results or turnout</w:t>
      </w:r>
      <w:r w:rsidR="4FA106B2" w:rsidRPr="005C6D34">
        <w:rPr>
          <w:rFonts w:cstheme="minorHAnsi"/>
          <w:sz w:val="24"/>
          <w:szCs w:val="24"/>
        </w:rPr>
        <w:t xml:space="preserve">. To address this, </w:t>
      </w:r>
      <w:r w:rsidR="007F435E" w:rsidRPr="005C6D34">
        <w:rPr>
          <w:rFonts w:cstheme="minorHAnsi"/>
          <w:sz w:val="24"/>
          <w:szCs w:val="24"/>
        </w:rPr>
        <w:t>we</w:t>
      </w:r>
      <w:r w:rsidR="00FC107D" w:rsidRPr="005C6D34">
        <w:rPr>
          <w:rFonts w:cstheme="minorHAnsi"/>
          <w:sz w:val="24"/>
          <w:szCs w:val="24"/>
        </w:rPr>
        <w:t xml:space="preserve"> use</w:t>
      </w:r>
      <w:r w:rsidR="00087427" w:rsidRPr="005C6D34">
        <w:rPr>
          <w:rFonts w:cstheme="minorHAnsi"/>
          <w:sz w:val="24"/>
          <w:szCs w:val="24"/>
        </w:rPr>
        <w:t>d</w:t>
      </w:r>
      <w:r w:rsidR="4FA106B2" w:rsidRPr="005C6D34">
        <w:rPr>
          <w:rFonts w:cstheme="minorHAnsi"/>
          <w:sz w:val="24"/>
          <w:szCs w:val="24"/>
        </w:rPr>
        <w:t xml:space="preserve"> </w:t>
      </w:r>
      <w:r w:rsidR="004B7D4A" w:rsidRPr="005C6D34">
        <w:rPr>
          <w:rFonts w:cstheme="minorHAnsi"/>
          <w:sz w:val="24"/>
          <w:szCs w:val="24"/>
        </w:rPr>
        <w:t xml:space="preserve">Nigeria’s </w:t>
      </w:r>
      <w:r w:rsidR="4FA106B2" w:rsidRPr="005C6D34">
        <w:rPr>
          <w:rFonts w:cstheme="minorHAnsi"/>
          <w:sz w:val="24"/>
          <w:szCs w:val="24"/>
        </w:rPr>
        <w:t>sub</w:t>
      </w:r>
      <w:r w:rsidR="00491600" w:rsidRPr="005C6D34">
        <w:rPr>
          <w:rFonts w:cstheme="minorHAnsi"/>
          <w:sz w:val="24"/>
          <w:szCs w:val="24"/>
        </w:rPr>
        <w:t>-</w:t>
      </w:r>
      <w:r w:rsidR="4FA106B2" w:rsidRPr="005C6D34">
        <w:rPr>
          <w:rFonts w:cstheme="minorHAnsi"/>
          <w:sz w:val="24"/>
          <w:szCs w:val="24"/>
        </w:rPr>
        <w:t xml:space="preserve">national data from </w:t>
      </w:r>
      <w:r w:rsidR="00E56858" w:rsidRPr="005C6D34">
        <w:rPr>
          <w:rFonts w:cstheme="minorHAnsi"/>
          <w:sz w:val="24"/>
          <w:szCs w:val="24"/>
        </w:rPr>
        <w:t xml:space="preserve">the gubernatorial elections in </w:t>
      </w:r>
      <w:r w:rsidR="4FA106B2" w:rsidRPr="005C6D34">
        <w:rPr>
          <w:rFonts w:cstheme="minorHAnsi"/>
          <w:sz w:val="24"/>
          <w:szCs w:val="24"/>
        </w:rPr>
        <w:t xml:space="preserve">three states – Anambra </w:t>
      </w:r>
      <w:r w:rsidR="006E0F15" w:rsidRPr="005C6D34">
        <w:rPr>
          <w:rFonts w:cstheme="minorHAnsi"/>
          <w:sz w:val="24"/>
          <w:szCs w:val="24"/>
        </w:rPr>
        <w:lastRenderedPageBreak/>
        <w:t xml:space="preserve">in </w:t>
      </w:r>
      <w:r w:rsidR="4FA106B2" w:rsidRPr="005C6D34">
        <w:rPr>
          <w:rFonts w:cstheme="minorHAnsi"/>
          <w:sz w:val="24"/>
          <w:szCs w:val="24"/>
        </w:rPr>
        <w:t>2021</w:t>
      </w:r>
      <w:r w:rsidR="00087427" w:rsidRPr="005C6D34">
        <w:rPr>
          <w:rFonts w:cstheme="minorHAnsi"/>
          <w:sz w:val="24"/>
          <w:szCs w:val="24"/>
        </w:rPr>
        <w:t>,</w:t>
      </w:r>
      <w:r w:rsidR="4FA106B2" w:rsidRPr="005C6D34">
        <w:rPr>
          <w:rFonts w:cstheme="minorHAnsi"/>
          <w:sz w:val="24"/>
          <w:szCs w:val="24"/>
        </w:rPr>
        <w:t xml:space="preserve"> Osun </w:t>
      </w:r>
      <w:r w:rsidR="00087427" w:rsidRPr="005C6D34">
        <w:rPr>
          <w:rFonts w:cstheme="minorHAnsi"/>
          <w:sz w:val="24"/>
          <w:szCs w:val="24"/>
        </w:rPr>
        <w:t xml:space="preserve">and </w:t>
      </w:r>
      <w:r w:rsidR="4FA106B2" w:rsidRPr="005C6D34">
        <w:rPr>
          <w:rFonts w:cstheme="minorHAnsi"/>
          <w:sz w:val="24"/>
          <w:szCs w:val="24"/>
        </w:rPr>
        <w:t xml:space="preserve">Ekiti </w:t>
      </w:r>
      <w:r w:rsidR="004B7D4A" w:rsidRPr="005C6D34">
        <w:rPr>
          <w:rFonts w:cstheme="minorHAnsi"/>
          <w:sz w:val="24"/>
          <w:szCs w:val="24"/>
        </w:rPr>
        <w:t xml:space="preserve">in </w:t>
      </w:r>
      <w:r w:rsidR="4FA106B2" w:rsidRPr="005C6D34">
        <w:rPr>
          <w:rFonts w:cstheme="minorHAnsi"/>
          <w:sz w:val="24"/>
          <w:szCs w:val="24"/>
        </w:rPr>
        <w:t xml:space="preserve">2022. </w:t>
      </w:r>
      <w:r w:rsidR="005E181D" w:rsidRPr="005C6D34">
        <w:rPr>
          <w:rFonts w:cstheme="minorHAnsi"/>
          <w:sz w:val="24"/>
          <w:szCs w:val="24"/>
        </w:rPr>
        <w:t>The</w:t>
      </w:r>
      <w:r w:rsidR="4FA106B2" w:rsidRPr="005C6D34">
        <w:rPr>
          <w:rFonts w:cstheme="minorHAnsi"/>
          <w:sz w:val="24"/>
          <w:szCs w:val="24"/>
        </w:rPr>
        <w:t xml:space="preserve"> sub</w:t>
      </w:r>
      <w:r w:rsidR="00087427" w:rsidRPr="005C6D34">
        <w:rPr>
          <w:rFonts w:cstheme="minorHAnsi"/>
          <w:sz w:val="24"/>
          <w:szCs w:val="24"/>
        </w:rPr>
        <w:t>-</w:t>
      </w:r>
      <w:r w:rsidR="4FA106B2" w:rsidRPr="005C6D34">
        <w:rPr>
          <w:rFonts w:cstheme="minorHAnsi"/>
          <w:sz w:val="24"/>
          <w:szCs w:val="24"/>
        </w:rPr>
        <w:t xml:space="preserve">national </w:t>
      </w:r>
      <w:r w:rsidR="00087427" w:rsidRPr="005C6D34">
        <w:rPr>
          <w:rFonts w:cstheme="minorHAnsi"/>
          <w:sz w:val="24"/>
          <w:szCs w:val="24"/>
        </w:rPr>
        <w:t>and</w:t>
      </w:r>
      <w:r w:rsidR="4FA106B2" w:rsidRPr="005C6D34">
        <w:rPr>
          <w:rFonts w:cstheme="minorHAnsi"/>
          <w:sz w:val="24"/>
          <w:szCs w:val="24"/>
        </w:rPr>
        <w:t xml:space="preserve"> off</w:t>
      </w:r>
      <w:r w:rsidR="00087427" w:rsidRPr="005C6D34">
        <w:rPr>
          <w:rFonts w:cstheme="minorHAnsi"/>
          <w:sz w:val="24"/>
          <w:szCs w:val="24"/>
        </w:rPr>
        <w:t>-</w:t>
      </w:r>
      <w:r w:rsidR="4FA106B2" w:rsidRPr="005C6D34">
        <w:rPr>
          <w:rFonts w:cstheme="minorHAnsi"/>
          <w:sz w:val="24"/>
          <w:szCs w:val="24"/>
        </w:rPr>
        <w:t>cycle elections provide</w:t>
      </w:r>
      <w:r w:rsidR="00E56858" w:rsidRPr="005C6D34">
        <w:rPr>
          <w:rFonts w:cstheme="minorHAnsi"/>
          <w:sz w:val="24"/>
          <w:szCs w:val="24"/>
        </w:rPr>
        <w:t>d</w:t>
      </w:r>
      <w:r w:rsidR="4FA106B2" w:rsidRPr="005C6D34">
        <w:rPr>
          <w:rFonts w:cstheme="minorHAnsi"/>
          <w:sz w:val="24"/>
          <w:szCs w:val="24"/>
        </w:rPr>
        <w:t xml:space="preserve"> </w:t>
      </w:r>
      <w:r w:rsidR="00E56858" w:rsidRPr="005C6D34">
        <w:rPr>
          <w:rFonts w:cstheme="minorHAnsi"/>
          <w:sz w:val="24"/>
          <w:szCs w:val="24"/>
        </w:rPr>
        <w:t xml:space="preserve">an </w:t>
      </w:r>
      <w:r w:rsidR="4FA106B2" w:rsidRPr="005C6D34">
        <w:rPr>
          <w:rFonts w:cstheme="minorHAnsi"/>
          <w:sz w:val="24"/>
          <w:szCs w:val="24"/>
        </w:rPr>
        <w:t xml:space="preserve">interesting perspective on the relationship between digital space, </w:t>
      </w:r>
      <w:r w:rsidR="00AD3BF0" w:rsidRPr="005C6D34">
        <w:rPr>
          <w:rFonts w:cstheme="minorHAnsi"/>
          <w:sz w:val="24"/>
          <w:szCs w:val="24"/>
        </w:rPr>
        <w:t>socio</w:t>
      </w:r>
      <w:r w:rsidR="00087427" w:rsidRPr="005C6D34">
        <w:rPr>
          <w:rFonts w:cstheme="minorHAnsi"/>
          <w:sz w:val="24"/>
          <w:szCs w:val="24"/>
        </w:rPr>
        <w:t>-</w:t>
      </w:r>
      <w:r w:rsidR="00AD3BF0" w:rsidRPr="005C6D34">
        <w:rPr>
          <w:rFonts w:cstheme="minorHAnsi"/>
          <w:sz w:val="24"/>
          <w:szCs w:val="24"/>
        </w:rPr>
        <w:t>economic factors</w:t>
      </w:r>
      <w:r w:rsidR="4FA106B2" w:rsidRPr="005C6D34">
        <w:rPr>
          <w:rFonts w:cstheme="minorHAnsi"/>
          <w:sz w:val="24"/>
          <w:szCs w:val="24"/>
        </w:rPr>
        <w:t xml:space="preserve"> </w:t>
      </w:r>
      <w:r w:rsidR="00087427" w:rsidRPr="005C6D34">
        <w:rPr>
          <w:rFonts w:cstheme="minorHAnsi"/>
          <w:sz w:val="24"/>
          <w:szCs w:val="24"/>
        </w:rPr>
        <w:t>and</w:t>
      </w:r>
      <w:r w:rsidR="4FA106B2" w:rsidRPr="005C6D34">
        <w:rPr>
          <w:rFonts w:cstheme="minorHAnsi"/>
          <w:sz w:val="24"/>
          <w:szCs w:val="24"/>
        </w:rPr>
        <w:t xml:space="preserve"> voter behaviour. We also include</w:t>
      </w:r>
      <w:r w:rsidR="00087427" w:rsidRPr="005C6D34">
        <w:rPr>
          <w:rFonts w:cstheme="minorHAnsi"/>
          <w:sz w:val="24"/>
          <w:szCs w:val="24"/>
        </w:rPr>
        <w:t>d</w:t>
      </w:r>
      <w:r w:rsidR="4FA106B2" w:rsidRPr="005C6D34">
        <w:rPr>
          <w:rFonts w:cstheme="minorHAnsi"/>
          <w:sz w:val="24"/>
          <w:szCs w:val="24"/>
        </w:rPr>
        <w:t xml:space="preserve"> new variables </w:t>
      </w:r>
      <w:r w:rsidR="00E56858" w:rsidRPr="005C6D34">
        <w:rPr>
          <w:rFonts w:cstheme="minorHAnsi"/>
          <w:sz w:val="24"/>
          <w:szCs w:val="24"/>
        </w:rPr>
        <w:t>such as</w:t>
      </w:r>
      <w:r w:rsidR="4FA106B2" w:rsidRPr="005C6D34">
        <w:rPr>
          <w:rFonts w:cstheme="minorHAnsi"/>
          <w:sz w:val="24"/>
          <w:szCs w:val="24"/>
        </w:rPr>
        <w:t xml:space="preserve"> </w:t>
      </w:r>
      <w:r w:rsidR="00FC1F9C" w:rsidRPr="005C6D34">
        <w:rPr>
          <w:rFonts w:cstheme="minorHAnsi"/>
          <w:sz w:val="24"/>
          <w:szCs w:val="24"/>
        </w:rPr>
        <w:t xml:space="preserve">the </w:t>
      </w:r>
      <w:r w:rsidR="00BD264C" w:rsidRPr="005C6D34">
        <w:rPr>
          <w:rFonts w:cstheme="minorHAnsi"/>
          <w:sz w:val="24"/>
          <w:szCs w:val="24"/>
        </w:rPr>
        <w:t xml:space="preserve">multidimensional </w:t>
      </w:r>
      <w:r w:rsidR="4FA106B2" w:rsidRPr="005C6D34">
        <w:rPr>
          <w:rFonts w:cstheme="minorHAnsi"/>
          <w:sz w:val="24"/>
          <w:szCs w:val="24"/>
        </w:rPr>
        <w:t>poverty</w:t>
      </w:r>
      <w:r w:rsidR="00BD264C" w:rsidRPr="005C6D34">
        <w:rPr>
          <w:rFonts w:cstheme="minorHAnsi"/>
          <w:sz w:val="24"/>
          <w:szCs w:val="24"/>
        </w:rPr>
        <w:t xml:space="preserve"> index</w:t>
      </w:r>
      <w:r w:rsidR="00FC1F9C" w:rsidRPr="005C6D34">
        <w:rPr>
          <w:rFonts w:cstheme="minorHAnsi"/>
          <w:sz w:val="24"/>
          <w:szCs w:val="24"/>
        </w:rPr>
        <w:t xml:space="preserve"> (MPI)</w:t>
      </w:r>
      <w:r w:rsidR="4FA106B2" w:rsidRPr="005C6D34">
        <w:rPr>
          <w:rFonts w:cstheme="minorHAnsi"/>
          <w:sz w:val="24"/>
          <w:szCs w:val="24"/>
        </w:rPr>
        <w:t>, voter registration</w:t>
      </w:r>
      <w:r w:rsidR="00FC1F9C" w:rsidRPr="005C6D34">
        <w:rPr>
          <w:rFonts w:cstheme="minorHAnsi"/>
          <w:sz w:val="24"/>
          <w:szCs w:val="24"/>
        </w:rPr>
        <w:t>, internet usage</w:t>
      </w:r>
      <w:r w:rsidR="00A40F72" w:rsidRPr="005C6D34">
        <w:rPr>
          <w:rStyle w:val="FootnoteReference"/>
          <w:rFonts w:cstheme="minorHAnsi"/>
          <w:sz w:val="24"/>
          <w:szCs w:val="24"/>
        </w:rPr>
        <w:footnoteReference w:id="4"/>
      </w:r>
      <w:r w:rsidR="4FA106B2" w:rsidRPr="005C6D34">
        <w:rPr>
          <w:rFonts w:cstheme="minorHAnsi"/>
          <w:sz w:val="24"/>
          <w:szCs w:val="24"/>
        </w:rPr>
        <w:t xml:space="preserve"> </w:t>
      </w:r>
      <w:r w:rsidR="00087427" w:rsidRPr="005C6D34">
        <w:rPr>
          <w:rFonts w:cstheme="minorHAnsi"/>
          <w:sz w:val="24"/>
          <w:szCs w:val="24"/>
        </w:rPr>
        <w:t>and</w:t>
      </w:r>
      <w:r w:rsidR="4FA106B2" w:rsidRPr="005C6D34">
        <w:rPr>
          <w:rFonts w:cstheme="minorHAnsi"/>
          <w:sz w:val="24"/>
          <w:szCs w:val="24"/>
        </w:rPr>
        <w:t xml:space="preserve"> social media </w:t>
      </w:r>
      <w:r w:rsidR="00A25FEA" w:rsidRPr="005C6D34">
        <w:rPr>
          <w:rFonts w:cstheme="minorHAnsi"/>
          <w:sz w:val="24"/>
          <w:szCs w:val="24"/>
        </w:rPr>
        <w:t>usage</w:t>
      </w:r>
      <w:r w:rsidR="4FA106B2" w:rsidRPr="005C6D34">
        <w:rPr>
          <w:rFonts w:cstheme="minorHAnsi"/>
          <w:sz w:val="24"/>
          <w:szCs w:val="24"/>
        </w:rPr>
        <w:t xml:space="preserve"> to pro</w:t>
      </w:r>
      <w:r w:rsidR="00CD09AE" w:rsidRPr="005C6D34">
        <w:rPr>
          <w:rFonts w:cstheme="minorHAnsi"/>
          <w:sz w:val="24"/>
          <w:szCs w:val="24"/>
        </w:rPr>
        <w:t xml:space="preserve">vide fresh insights. </w:t>
      </w:r>
    </w:p>
    <w:p w14:paraId="139B8BD5" w14:textId="77777777" w:rsidR="00547C67" w:rsidRPr="005C6D34" w:rsidRDefault="00CD09AE" w:rsidP="000A687F">
      <w:pPr>
        <w:spacing w:line="360" w:lineRule="auto"/>
        <w:jc w:val="both"/>
        <w:rPr>
          <w:rFonts w:cstheme="minorHAnsi"/>
          <w:sz w:val="24"/>
          <w:szCs w:val="24"/>
        </w:rPr>
      </w:pPr>
      <w:r w:rsidRPr="005C6D34">
        <w:rPr>
          <w:rFonts w:cstheme="minorHAnsi"/>
          <w:sz w:val="24"/>
          <w:szCs w:val="24"/>
        </w:rPr>
        <w:t xml:space="preserve">To go about this study, we ask: </w:t>
      </w:r>
    </w:p>
    <w:p w14:paraId="5CED2BEB" w14:textId="119E0235" w:rsidR="00547C67" w:rsidRPr="005C6D34" w:rsidRDefault="00CD09AE" w:rsidP="00547C67">
      <w:pPr>
        <w:pStyle w:val="ListParagraph"/>
        <w:numPr>
          <w:ilvl w:val="0"/>
          <w:numId w:val="9"/>
        </w:numPr>
        <w:spacing w:line="360" w:lineRule="auto"/>
        <w:jc w:val="both"/>
        <w:rPr>
          <w:rFonts w:cstheme="minorHAnsi"/>
          <w:sz w:val="24"/>
          <w:szCs w:val="24"/>
        </w:rPr>
      </w:pPr>
      <w:r w:rsidRPr="005C6D34">
        <w:rPr>
          <w:rFonts w:cstheme="minorHAnsi"/>
          <w:sz w:val="24"/>
          <w:szCs w:val="24"/>
        </w:rPr>
        <w:t>D</w:t>
      </w:r>
      <w:r w:rsidR="00D81C89" w:rsidRPr="005C6D34">
        <w:rPr>
          <w:rFonts w:cstheme="minorHAnsi"/>
          <w:sz w:val="24"/>
          <w:szCs w:val="24"/>
        </w:rPr>
        <w:t>o</w:t>
      </w:r>
      <w:r w:rsidR="00223907" w:rsidRPr="005C6D34">
        <w:rPr>
          <w:rFonts w:cstheme="minorHAnsi"/>
          <w:sz w:val="24"/>
          <w:szCs w:val="24"/>
        </w:rPr>
        <w:t>es</w:t>
      </w:r>
      <w:r w:rsidRPr="005C6D34">
        <w:rPr>
          <w:rFonts w:cstheme="minorHAnsi"/>
          <w:sz w:val="24"/>
          <w:szCs w:val="24"/>
        </w:rPr>
        <w:t xml:space="preserve"> socio-economic discontent influence young people’s voting behaviours in Nigeria? </w:t>
      </w:r>
    </w:p>
    <w:p w14:paraId="43BEA581" w14:textId="1AC98491" w:rsidR="00547C67" w:rsidRPr="005C6D34" w:rsidRDefault="00CD09AE" w:rsidP="00547C67">
      <w:pPr>
        <w:pStyle w:val="ListParagraph"/>
        <w:numPr>
          <w:ilvl w:val="0"/>
          <w:numId w:val="9"/>
        </w:numPr>
        <w:spacing w:line="360" w:lineRule="auto"/>
        <w:jc w:val="both"/>
        <w:rPr>
          <w:rFonts w:cstheme="minorHAnsi"/>
          <w:sz w:val="24"/>
          <w:szCs w:val="24"/>
        </w:rPr>
      </w:pPr>
      <w:r w:rsidRPr="005C6D34">
        <w:rPr>
          <w:rFonts w:cstheme="minorHAnsi"/>
          <w:sz w:val="24"/>
          <w:szCs w:val="24"/>
        </w:rPr>
        <w:t xml:space="preserve">How does the increase in digital space engagements influence voter registration? </w:t>
      </w:r>
    </w:p>
    <w:p w14:paraId="3FEF6CCB" w14:textId="4C937541" w:rsidR="00D81C89" w:rsidRPr="005C6D34" w:rsidRDefault="00D81C89" w:rsidP="00D81C89">
      <w:pPr>
        <w:pStyle w:val="ListParagraph"/>
        <w:numPr>
          <w:ilvl w:val="0"/>
          <w:numId w:val="9"/>
        </w:numPr>
        <w:spacing w:line="360" w:lineRule="auto"/>
        <w:jc w:val="both"/>
        <w:rPr>
          <w:rFonts w:cstheme="minorHAnsi"/>
          <w:sz w:val="24"/>
          <w:szCs w:val="24"/>
        </w:rPr>
      </w:pPr>
      <w:r w:rsidRPr="005C6D34">
        <w:rPr>
          <w:rFonts w:cstheme="minorHAnsi"/>
          <w:sz w:val="24"/>
          <w:szCs w:val="24"/>
        </w:rPr>
        <w:t xml:space="preserve">What influenced voter turnout in </w:t>
      </w:r>
      <w:r w:rsidR="00223907" w:rsidRPr="005C6D34">
        <w:rPr>
          <w:rFonts w:cstheme="minorHAnsi"/>
          <w:sz w:val="24"/>
          <w:szCs w:val="24"/>
        </w:rPr>
        <w:t>the gubernatorial elections of Osun, Ekiti, and Anambra state</w:t>
      </w:r>
      <w:r w:rsidRPr="005C6D34">
        <w:rPr>
          <w:rFonts w:cstheme="minorHAnsi"/>
          <w:sz w:val="24"/>
          <w:szCs w:val="24"/>
        </w:rPr>
        <w:t xml:space="preserve">s? </w:t>
      </w:r>
    </w:p>
    <w:p w14:paraId="32274963" w14:textId="75AC3D70" w:rsidR="00CD09AE" w:rsidRPr="005C6D34" w:rsidRDefault="00C635ED" w:rsidP="005A0412">
      <w:pPr>
        <w:spacing w:line="360" w:lineRule="auto"/>
        <w:jc w:val="both"/>
        <w:rPr>
          <w:rFonts w:cstheme="minorHAnsi"/>
          <w:sz w:val="24"/>
          <w:szCs w:val="24"/>
        </w:rPr>
      </w:pPr>
      <w:r w:rsidRPr="005C6D34">
        <w:rPr>
          <w:rFonts w:cstheme="minorHAnsi"/>
          <w:sz w:val="24"/>
          <w:szCs w:val="24"/>
        </w:rPr>
        <w:t>As we attempt to answer the question, f</w:t>
      </w:r>
      <w:r w:rsidR="00CD09AE" w:rsidRPr="005C6D34">
        <w:rPr>
          <w:rFonts w:cstheme="minorHAnsi"/>
          <w:sz w:val="24"/>
          <w:szCs w:val="24"/>
        </w:rPr>
        <w:t>irst, we delve into the literature.</w:t>
      </w:r>
    </w:p>
    <w:p w14:paraId="73DA640F" w14:textId="68D49224" w:rsidR="00D96A75" w:rsidRPr="005C6D34" w:rsidRDefault="00D96A75" w:rsidP="000A687F">
      <w:pPr>
        <w:pStyle w:val="ListParagraph"/>
        <w:numPr>
          <w:ilvl w:val="0"/>
          <w:numId w:val="5"/>
        </w:numPr>
        <w:spacing w:line="360" w:lineRule="auto"/>
        <w:rPr>
          <w:rFonts w:cstheme="minorHAnsi"/>
          <w:b/>
          <w:sz w:val="24"/>
          <w:szCs w:val="24"/>
        </w:rPr>
      </w:pPr>
      <w:r w:rsidRPr="005C6D34">
        <w:rPr>
          <w:rFonts w:cstheme="minorHAnsi"/>
          <w:b/>
          <w:sz w:val="24"/>
          <w:szCs w:val="24"/>
        </w:rPr>
        <w:t>Related Literature</w:t>
      </w:r>
      <w:r w:rsidR="002D0724">
        <w:rPr>
          <w:rFonts w:cstheme="minorHAnsi"/>
          <w:b/>
          <w:sz w:val="24"/>
          <w:szCs w:val="24"/>
        </w:rPr>
        <w:t xml:space="preserve"> and Underlying Theories</w:t>
      </w:r>
    </w:p>
    <w:p w14:paraId="1C3D783B" w14:textId="4388BC2B" w:rsidR="00D96A75" w:rsidRPr="005C6D34" w:rsidRDefault="00D96A75" w:rsidP="000A687F">
      <w:pPr>
        <w:spacing w:line="360" w:lineRule="auto"/>
        <w:jc w:val="both"/>
        <w:rPr>
          <w:rFonts w:cstheme="minorHAnsi"/>
          <w:sz w:val="24"/>
          <w:szCs w:val="24"/>
        </w:rPr>
      </w:pPr>
      <w:r w:rsidRPr="005C6D34">
        <w:rPr>
          <w:rFonts w:cstheme="minorHAnsi"/>
          <w:sz w:val="24"/>
          <w:szCs w:val="24"/>
        </w:rPr>
        <w:t xml:space="preserve">Several studies have attempted to link </w:t>
      </w:r>
      <w:r w:rsidR="00AD3BF0" w:rsidRPr="005C6D34">
        <w:rPr>
          <w:rFonts w:cstheme="minorHAnsi"/>
          <w:sz w:val="24"/>
          <w:szCs w:val="24"/>
        </w:rPr>
        <w:t>socio</w:t>
      </w:r>
      <w:r w:rsidR="002F369E" w:rsidRPr="005C6D34">
        <w:rPr>
          <w:rFonts w:cstheme="minorHAnsi"/>
          <w:sz w:val="24"/>
          <w:szCs w:val="24"/>
        </w:rPr>
        <w:t>-</w:t>
      </w:r>
      <w:r w:rsidR="00AD3BF0" w:rsidRPr="005C6D34">
        <w:rPr>
          <w:rFonts w:cstheme="minorHAnsi"/>
          <w:sz w:val="24"/>
          <w:szCs w:val="24"/>
        </w:rPr>
        <w:t>economic factors</w:t>
      </w:r>
      <w:r w:rsidRPr="005C6D34">
        <w:rPr>
          <w:rFonts w:cstheme="minorHAnsi"/>
          <w:sz w:val="24"/>
          <w:szCs w:val="24"/>
        </w:rPr>
        <w:t xml:space="preserve">, digital space participation </w:t>
      </w:r>
      <w:r w:rsidR="002F369E" w:rsidRPr="005C6D34">
        <w:rPr>
          <w:rFonts w:cstheme="minorHAnsi"/>
          <w:sz w:val="24"/>
          <w:szCs w:val="24"/>
        </w:rPr>
        <w:t>and</w:t>
      </w:r>
      <w:r w:rsidRPr="005C6D34">
        <w:rPr>
          <w:rFonts w:cstheme="minorHAnsi"/>
          <w:sz w:val="24"/>
          <w:szCs w:val="24"/>
        </w:rPr>
        <w:t xml:space="preserve"> voter behaviour changes using the Mobilisation</w:t>
      </w:r>
      <w:r w:rsidR="002F369E" w:rsidRPr="005C6D34">
        <w:rPr>
          <w:rFonts w:cstheme="minorHAnsi"/>
          <w:sz w:val="24"/>
          <w:szCs w:val="24"/>
        </w:rPr>
        <w:t>-</w:t>
      </w:r>
      <w:r w:rsidRPr="005C6D34">
        <w:rPr>
          <w:rFonts w:cstheme="minorHAnsi"/>
          <w:sz w:val="24"/>
          <w:szCs w:val="24"/>
        </w:rPr>
        <w:t xml:space="preserve">Withdrawal Model (MWM). </w:t>
      </w:r>
      <w:r w:rsidR="00D37ABB" w:rsidRPr="005C6D34">
        <w:rPr>
          <w:rFonts w:cstheme="minorHAnsi"/>
          <w:sz w:val="24"/>
          <w:szCs w:val="24"/>
        </w:rPr>
        <w:t>T</w:t>
      </w:r>
      <w:r w:rsidR="002F369E" w:rsidRPr="005C6D34">
        <w:rPr>
          <w:rFonts w:cstheme="minorHAnsi"/>
          <w:sz w:val="24"/>
          <w:szCs w:val="24"/>
        </w:rPr>
        <w:t>he literature review</w:t>
      </w:r>
      <w:r w:rsidR="00D416C7" w:rsidRPr="005C6D34">
        <w:rPr>
          <w:rFonts w:cstheme="minorHAnsi"/>
          <w:sz w:val="24"/>
          <w:szCs w:val="24"/>
        </w:rPr>
        <w:t xml:space="preserve"> </w:t>
      </w:r>
      <w:r w:rsidR="002F369E" w:rsidRPr="005C6D34">
        <w:rPr>
          <w:rFonts w:cstheme="minorHAnsi"/>
          <w:sz w:val="24"/>
          <w:szCs w:val="24"/>
        </w:rPr>
        <w:t>highlighted</w:t>
      </w:r>
      <w:r w:rsidR="00D37ABB" w:rsidRPr="005C6D34">
        <w:rPr>
          <w:rFonts w:cstheme="minorHAnsi"/>
          <w:sz w:val="24"/>
          <w:szCs w:val="24"/>
        </w:rPr>
        <w:t xml:space="preserve"> that </w:t>
      </w:r>
      <w:r w:rsidR="007F435E" w:rsidRPr="005C6D34">
        <w:rPr>
          <w:rFonts w:cstheme="minorHAnsi"/>
          <w:sz w:val="24"/>
          <w:szCs w:val="24"/>
        </w:rPr>
        <w:t xml:space="preserve">socio-economic </w:t>
      </w:r>
      <w:r w:rsidR="00D37ABB" w:rsidRPr="005C6D34">
        <w:rPr>
          <w:rFonts w:cstheme="minorHAnsi"/>
          <w:sz w:val="24"/>
          <w:szCs w:val="24"/>
        </w:rPr>
        <w:t xml:space="preserve">factors </w:t>
      </w:r>
      <w:r w:rsidR="002F369E" w:rsidRPr="005C6D34">
        <w:rPr>
          <w:rFonts w:cstheme="minorHAnsi"/>
          <w:sz w:val="24"/>
          <w:szCs w:val="24"/>
        </w:rPr>
        <w:t>and</w:t>
      </w:r>
      <w:r w:rsidR="00D37ABB" w:rsidRPr="005C6D34">
        <w:rPr>
          <w:rFonts w:cstheme="minorHAnsi"/>
          <w:sz w:val="24"/>
          <w:szCs w:val="24"/>
        </w:rPr>
        <w:t xml:space="preserve"> digital space affect</w:t>
      </w:r>
      <w:r w:rsidR="00D416C7" w:rsidRPr="005C6D34">
        <w:rPr>
          <w:rFonts w:cstheme="minorHAnsi"/>
          <w:sz w:val="24"/>
          <w:szCs w:val="24"/>
        </w:rPr>
        <w:t>ed</w:t>
      </w:r>
      <w:r w:rsidR="00D37ABB" w:rsidRPr="005C6D34">
        <w:rPr>
          <w:rFonts w:cstheme="minorHAnsi"/>
          <w:sz w:val="24"/>
          <w:szCs w:val="24"/>
        </w:rPr>
        <w:t xml:space="preserve"> voter behaviour similarly.</w:t>
      </w:r>
      <w:r w:rsidRPr="005C6D34">
        <w:rPr>
          <w:rFonts w:cstheme="minorHAnsi"/>
          <w:sz w:val="24"/>
          <w:szCs w:val="24"/>
        </w:rPr>
        <w:t xml:space="preserve"> </w:t>
      </w:r>
      <w:r w:rsidR="00D37ABB" w:rsidRPr="005C6D34">
        <w:rPr>
          <w:rFonts w:cstheme="minorHAnsi"/>
          <w:sz w:val="24"/>
          <w:szCs w:val="24"/>
        </w:rPr>
        <w:t xml:space="preserve">In terms of </w:t>
      </w:r>
      <w:r w:rsidRPr="005C6D34">
        <w:rPr>
          <w:rFonts w:cstheme="minorHAnsi"/>
          <w:sz w:val="24"/>
          <w:szCs w:val="24"/>
        </w:rPr>
        <w:t>methodolog</w:t>
      </w:r>
      <w:r w:rsidR="00D37ABB" w:rsidRPr="005C6D34">
        <w:rPr>
          <w:rFonts w:cstheme="minorHAnsi"/>
          <w:sz w:val="24"/>
          <w:szCs w:val="24"/>
        </w:rPr>
        <w:t>y</w:t>
      </w:r>
      <w:r w:rsidRPr="005C6D34">
        <w:rPr>
          <w:rFonts w:cstheme="minorHAnsi"/>
          <w:sz w:val="24"/>
          <w:szCs w:val="24"/>
        </w:rPr>
        <w:t xml:space="preserve">, several studies </w:t>
      </w:r>
      <w:r w:rsidR="00D37ABB" w:rsidRPr="005C6D34">
        <w:rPr>
          <w:rFonts w:cstheme="minorHAnsi"/>
          <w:sz w:val="24"/>
          <w:szCs w:val="24"/>
        </w:rPr>
        <w:t>used</w:t>
      </w:r>
      <w:r w:rsidRPr="005C6D34">
        <w:rPr>
          <w:rFonts w:cstheme="minorHAnsi"/>
          <w:sz w:val="24"/>
          <w:szCs w:val="24"/>
        </w:rPr>
        <w:t xml:space="preserve"> empirical data </w:t>
      </w:r>
      <w:r w:rsidR="002F369E" w:rsidRPr="005C6D34">
        <w:rPr>
          <w:rFonts w:cstheme="minorHAnsi"/>
          <w:sz w:val="24"/>
          <w:szCs w:val="24"/>
        </w:rPr>
        <w:t>and</w:t>
      </w:r>
      <w:r w:rsidR="00D37ABB" w:rsidRPr="005C6D34">
        <w:rPr>
          <w:rFonts w:cstheme="minorHAnsi"/>
          <w:sz w:val="24"/>
          <w:szCs w:val="24"/>
        </w:rPr>
        <w:t xml:space="preserve"> </w:t>
      </w:r>
      <w:r w:rsidRPr="005C6D34">
        <w:rPr>
          <w:rFonts w:cstheme="minorHAnsi"/>
          <w:sz w:val="24"/>
          <w:szCs w:val="24"/>
        </w:rPr>
        <w:t xml:space="preserve">variables </w:t>
      </w:r>
      <w:r w:rsidR="00D37ABB" w:rsidRPr="005C6D34">
        <w:rPr>
          <w:rFonts w:cstheme="minorHAnsi"/>
          <w:sz w:val="24"/>
          <w:szCs w:val="24"/>
        </w:rPr>
        <w:t>such as</w:t>
      </w:r>
      <w:r w:rsidRPr="005C6D34">
        <w:rPr>
          <w:rFonts w:cstheme="minorHAnsi"/>
          <w:sz w:val="24"/>
          <w:szCs w:val="24"/>
        </w:rPr>
        <w:t xml:space="preserve"> GDP, unemployment</w:t>
      </w:r>
      <w:r w:rsidR="002F369E" w:rsidRPr="005C6D34">
        <w:rPr>
          <w:rFonts w:cstheme="minorHAnsi"/>
          <w:sz w:val="24"/>
          <w:szCs w:val="24"/>
        </w:rPr>
        <w:t xml:space="preserve"> rates</w:t>
      </w:r>
      <w:r w:rsidR="00D37ABB" w:rsidRPr="005C6D34">
        <w:rPr>
          <w:rFonts w:cstheme="minorHAnsi"/>
          <w:sz w:val="24"/>
          <w:szCs w:val="24"/>
        </w:rPr>
        <w:t xml:space="preserve"> </w:t>
      </w:r>
      <w:r w:rsidR="002F369E" w:rsidRPr="005C6D34">
        <w:rPr>
          <w:rFonts w:cstheme="minorHAnsi"/>
          <w:sz w:val="24"/>
          <w:szCs w:val="24"/>
        </w:rPr>
        <w:t>and</w:t>
      </w:r>
      <w:r w:rsidRPr="005C6D34">
        <w:rPr>
          <w:rFonts w:cstheme="minorHAnsi"/>
          <w:sz w:val="24"/>
          <w:szCs w:val="24"/>
        </w:rPr>
        <w:t xml:space="preserve"> voter turnout.</w:t>
      </w:r>
    </w:p>
    <w:p w14:paraId="0CF429D3" w14:textId="77777777" w:rsidR="00072895" w:rsidRPr="005C6D34" w:rsidRDefault="00072895" w:rsidP="00072895">
      <w:pPr>
        <w:spacing w:line="360" w:lineRule="auto"/>
        <w:jc w:val="both"/>
        <w:rPr>
          <w:rFonts w:cstheme="minorHAnsi"/>
          <w:sz w:val="24"/>
          <w:szCs w:val="24"/>
        </w:rPr>
      </w:pPr>
      <w:r w:rsidRPr="005C6D34">
        <w:rPr>
          <w:rFonts w:cstheme="minorHAnsi"/>
          <w:sz w:val="24"/>
          <w:szCs w:val="24"/>
        </w:rPr>
        <w:t xml:space="preserve">Recent studies have yielded mixed results, ranging from consonance to dissonance to no effects at all (Burden &amp; </w:t>
      </w:r>
      <w:proofErr w:type="spellStart"/>
      <w:r w:rsidRPr="005C6D34">
        <w:rPr>
          <w:rFonts w:cstheme="minorHAnsi"/>
          <w:sz w:val="24"/>
          <w:szCs w:val="24"/>
        </w:rPr>
        <w:t>Wichowsky</w:t>
      </w:r>
      <w:proofErr w:type="spellEnd"/>
      <w:r w:rsidRPr="005C6D34">
        <w:rPr>
          <w:rFonts w:cstheme="minorHAnsi"/>
          <w:sz w:val="24"/>
          <w:szCs w:val="24"/>
        </w:rPr>
        <w:t xml:space="preserve">, 2014; Martins &amp; </w:t>
      </w:r>
      <w:proofErr w:type="spellStart"/>
      <w:r w:rsidRPr="005C6D34">
        <w:rPr>
          <w:rFonts w:cstheme="minorHAnsi"/>
          <w:sz w:val="24"/>
          <w:szCs w:val="24"/>
        </w:rPr>
        <w:t>Veiga</w:t>
      </w:r>
      <w:proofErr w:type="spellEnd"/>
      <w:r w:rsidRPr="005C6D34">
        <w:rPr>
          <w:rFonts w:cstheme="minorHAnsi"/>
          <w:sz w:val="24"/>
          <w:szCs w:val="24"/>
        </w:rPr>
        <w:t xml:space="preserve">, 2014; </w:t>
      </w:r>
      <w:proofErr w:type="spellStart"/>
      <w:r w:rsidRPr="005C6D34">
        <w:rPr>
          <w:rFonts w:cstheme="minorHAnsi"/>
          <w:sz w:val="24"/>
          <w:szCs w:val="24"/>
        </w:rPr>
        <w:t>Azzollini</w:t>
      </w:r>
      <w:proofErr w:type="spellEnd"/>
      <w:r w:rsidRPr="005C6D34">
        <w:rPr>
          <w:rFonts w:cstheme="minorHAnsi"/>
          <w:sz w:val="24"/>
          <w:szCs w:val="24"/>
        </w:rPr>
        <w:t xml:space="preserve">, 2021; </w:t>
      </w:r>
      <w:proofErr w:type="spellStart"/>
      <w:r w:rsidRPr="005C6D34">
        <w:rPr>
          <w:rFonts w:cstheme="minorHAnsi"/>
          <w:sz w:val="24"/>
          <w:szCs w:val="24"/>
        </w:rPr>
        <w:t>Lynge</w:t>
      </w:r>
      <w:proofErr w:type="spellEnd"/>
      <w:r w:rsidRPr="005C6D34">
        <w:rPr>
          <w:rFonts w:cstheme="minorHAnsi"/>
          <w:sz w:val="24"/>
          <w:szCs w:val="24"/>
        </w:rPr>
        <w:t xml:space="preserve"> &amp; Martínez i Coma, 2022; </w:t>
      </w:r>
      <w:proofErr w:type="spellStart"/>
      <w:r w:rsidRPr="005C6D34">
        <w:rPr>
          <w:rFonts w:cstheme="minorHAnsi"/>
          <w:sz w:val="24"/>
          <w:szCs w:val="24"/>
        </w:rPr>
        <w:t>Herodowicz</w:t>
      </w:r>
      <w:proofErr w:type="spellEnd"/>
      <w:r w:rsidRPr="005C6D34">
        <w:rPr>
          <w:rFonts w:cstheme="minorHAnsi"/>
          <w:sz w:val="24"/>
          <w:szCs w:val="24"/>
        </w:rPr>
        <w:t xml:space="preserve">, </w:t>
      </w:r>
      <w:proofErr w:type="spellStart"/>
      <w:r w:rsidRPr="005C6D34">
        <w:rPr>
          <w:rFonts w:cstheme="minorHAnsi"/>
          <w:sz w:val="24"/>
          <w:szCs w:val="24"/>
        </w:rPr>
        <w:t>Konecka-Szydłowska</w:t>
      </w:r>
      <w:proofErr w:type="spellEnd"/>
      <w:r w:rsidRPr="005C6D34">
        <w:rPr>
          <w:rFonts w:cstheme="minorHAnsi"/>
          <w:sz w:val="24"/>
          <w:szCs w:val="24"/>
        </w:rPr>
        <w:t xml:space="preserve">, </w:t>
      </w:r>
      <w:proofErr w:type="spellStart"/>
      <w:r w:rsidRPr="005C6D34">
        <w:rPr>
          <w:rFonts w:cstheme="minorHAnsi"/>
          <w:sz w:val="24"/>
          <w:szCs w:val="24"/>
        </w:rPr>
        <w:t>Churski</w:t>
      </w:r>
      <w:proofErr w:type="spellEnd"/>
      <w:r w:rsidRPr="005C6D34">
        <w:rPr>
          <w:rFonts w:cstheme="minorHAnsi"/>
          <w:sz w:val="24"/>
          <w:szCs w:val="24"/>
        </w:rPr>
        <w:t xml:space="preserve"> &amp; </w:t>
      </w:r>
      <w:proofErr w:type="spellStart"/>
      <w:r w:rsidRPr="005C6D34">
        <w:rPr>
          <w:rFonts w:cstheme="minorHAnsi"/>
          <w:sz w:val="24"/>
          <w:szCs w:val="24"/>
        </w:rPr>
        <w:t>Perdał</w:t>
      </w:r>
      <w:proofErr w:type="spellEnd"/>
      <w:r w:rsidRPr="005C6D34">
        <w:rPr>
          <w:rFonts w:cstheme="minorHAnsi"/>
          <w:sz w:val="24"/>
          <w:szCs w:val="24"/>
        </w:rPr>
        <w:t xml:space="preserve">, 2021; Lewis-Beck &amp; Martini, 2020; Vera, 2022; Schulz-Herzenberg, 2019; Martins &amp; </w:t>
      </w:r>
      <w:proofErr w:type="spellStart"/>
      <w:r w:rsidRPr="005C6D34">
        <w:rPr>
          <w:rFonts w:cstheme="minorHAnsi"/>
          <w:sz w:val="24"/>
          <w:szCs w:val="24"/>
        </w:rPr>
        <w:t>Veiga</w:t>
      </w:r>
      <w:proofErr w:type="spellEnd"/>
      <w:r w:rsidRPr="005C6D34">
        <w:rPr>
          <w:rFonts w:cstheme="minorHAnsi"/>
          <w:sz w:val="24"/>
          <w:szCs w:val="24"/>
        </w:rPr>
        <w:t xml:space="preserve">, 2013; Lee, 2020; Xenos, </w:t>
      </w:r>
      <w:proofErr w:type="spellStart"/>
      <w:r w:rsidRPr="005C6D34">
        <w:rPr>
          <w:rFonts w:cstheme="minorHAnsi"/>
          <w:sz w:val="24"/>
          <w:szCs w:val="24"/>
        </w:rPr>
        <w:t>Vromen</w:t>
      </w:r>
      <w:proofErr w:type="spellEnd"/>
      <w:r w:rsidRPr="005C6D34">
        <w:rPr>
          <w:rFonts w:cstheme="minorHAnsi"/>
          <w:sz w:val="24"/>
          <w:szCs w:val="24"/>
        </w:rPr>
        <w:t xml:space="preserve"> &amp; Loader, 2014; Baumgartner &amp; Morris, 2010; Hampton, Lee &amp; Her, 2011; Schlozman, </w:t>
      </w:r>
      <w:proofErr w:type="spellStart"/>
      <w:r w:rsidRPr="005C6D34">
        <w:rPr>
          <w:rFonts w:cstheme="minorHAnsi"/>
          <w:sz w:val="24"/>
          <w:szCs w:val="24"/>
        </w:rPr>
        <w:t>Verba</w:t>
      </w:r>
      <w:proofErr w:type="spellEnd"/>
      <w:r w:rsidRPr="005C6D34">
        <w:rPr>
          <w:rFonts w:cstheme="minorHAnsi"/>
          <w:sz w:val="24"/>
          <w:szCs w:val="24"/>
        </w:rPr>
        <w:t xml:space="preserve"> &amp; Brady, 2010). Only a few studies have considered socio-economic factors and digital space effects on voter behaviour in African countries (</w:t>
      </w:r>
      <w:proofErr w:type="spellStart"/>
      <w:r w:rsidRPr="005C6D34">
        <w:rPr>
          <w:rFonts w:cstheme="minorHAnsi"/>
          <w:sz w:val="24"/>
          <w:szCs w:val="24"/>
        </w:rPr>
        <w:t>Lynge</w:t>
      </w:r>
      <w:proofErr w:type="spellEnd"/>
      <w:r w:rsidRPr="005C6D34">
        <w:rPr>
          <w:rFonts w:cstheme="minorHAnsi"/>
          <w:sz w:val="24"/>
          <w:szCs w:val="24"/>
        </w:rPr>
        <w:t xml:space="preserve"> &amp; Martínez i Coma, 2022; Tracey 2016; </w:t>
      </w:r>
      <w:r w:rsidRPr="005C6D34">
        <w:rPr>
          <w:rFonts w:cstheme="minorHAnsi"/>
          <w:sz w:val="24"/>
          <w:szCs w:val="24"/>
        </w:rPr>
        <w:lastRenderedPageBreak/>
        <w:t>and Schulz-Herzenberg 2019). These studies largely relied on aggregated data that focused on national or presidential elections.</w:t>
      </w:r>
    </w:p>
    <w:p w14:paraId="7D3A2EBF" w14:textId="22149071" w:rsidR="00D96A75" w:rsidRPr="005C6D34" w:rsidRDefault="008D4325" w:rsidP="000A687F">
      <w:pPr>
        <w:pStyle w:val="ListParagraph"/>
        <w:numPr>
          <w:ilvl w:val="1"/>
          <w:numId w:val="5"/>
        </w:numPr>
        <w:spacing w:line="360" w:lineRule="auto"/>
        <w:rPr>
          <w:rFonts w:cstheme="minorHAnsi"/>
          <w:b/>
          <w:i/>
          <w:sz w:val="24"/>
          <w:szCs w:val="24"/>
        </w:rPr>
      </w:pPr>
      <w:r w:rsidRPr="005C6D34">
        <w:rPr>
          <w:rFonts w:cstheme="minorHAnsi"/>
          <w:b/>
          <w:i/>
          <w:sz w:val="24"/>
          <w:szCs w:val="24"/>
        </w:rPr>
        <w:t>Socio</w:t>
      </w:r>
      <w:r w:rsidR="002F369E" w:rsidRPr="005C6D34">
        <w:rPr>
          <w:rFonts w:cstheme="minorHAnsi"/>
          <w:b/>
          <w:i/>
          <w:sz w:val="24"/>
          <w:szCs w:val="24"/>
        </w:rPr>
        <w:t>-</w:t>
      </w:r>
      <w:r w:rsidRPr="005C6D34">
        <w:rPr>
          <w:rFonts w:cstheme="minorHAnsi"/>
          <w:b/>
          <w:i/>
          <w:sz w:val="24"/>
          <w:szCs w:val="24"/>
        </w:rPr>
        <w:t xml:space="preserve">Economic Factors </w:t>
      </w:r>
      <w:r w:rsidR="002F369E" w:rsidRPr="005C6D34">
        <w:rPr>
          <w:rFonts w:cstheme="minorHAnsi"/>
          <w:b/>
          <w:i/>
          <w:sz w:val="24"/>
          <w:szCs w:val="24"/>
        </w:rPr>
        <w:t>and</w:t>
      </w:r>
      <w:r w:rsidR="00D96A75" w:rsidRPr="005C6D34">
        <w:rPr>
          <w:rFonts w:cstheme="minorHAnsi"/>
          <w:b/>
          <w:i/>
          <w:sz w:val="24"/>
          <w:szCs w:val="24"/>
        </w:rPr>
        <w:t xml:space="preserve"> </w:t>
      </w:r>
      <w:r w:rsidRPr="005C6D34">
        <w:rPr>
          <w:rFonts w:cstheme="minorHAnsi"/>
          <w:b/>
          <w:i/>
          <w:sz w:val="24"/>
          <w:szCs w:val="24"/>
        </w:rPr>
        <w:t>Voter Behaviour</w:t>
      </w:r>
    </w:p>
    <w:p w14:paraId="3C2041E2" w14:textId="69C65754" w:rsidR="00D96A75" w:rsidRPr="005C6D34" w:rsidRDefault="00D96A75" w:rsidP="000A687F">
      <w:pPr>
        <w:spacing w:line="360" w:lineRule="auto"/>
        <w:jc w:val="both"/>
        <w:rPr>
          <w:rFonts w:cstheme="minorHAnsi"/>
          <w:sz w:val="24"/>
          <w:szCs w:val="24"/>
        </w:rPr>
      </w:pPr>
      <w:r w:rsidRPr="005C6D34">
        <w:rPr>
          <w:rFonts w:cstheme="minorHAnsi"/>
          <w:sz w:val="24"/>
          <w:szCs w:val="24"/>
        </w:rPr>
        <w:t>Studies using</w:t>
      </w:r>
      <w:r w:rsidR="003B68FE" w:rsidRPr="005C6D34">
        <w:rPr>
          <w:rFonts w:cstheme="minorHAnsi"/>
          <w:sz w:val="24"/>
          <w:szCs w:val="24"/>
        </w:rPr>
        <w:t xml:space="preserve"> the</w:t>
      </w:r>
      <w:r w:rsidRPr="005C6D34">
        <w:rPr>
          <w:rFonts w:cstheme="minorHAnsi"/>
          <w:sz w:val="24"/>
          <w:szCs w:val="24"/>
        </w:rPr>
        <w:t xml:space="preserve"> MWM adopted inflation, GDP </w:t>
      </w:r>
      <w:r w:rsidR="002F369E" w:rsidRPr="005C6D34">
        <w:rPr>
          <w:rFonts w:cstheme="minorHAnsi"/>
          <w:sz w:val="24"/>
          <w:szCs w:val="24"/>
        </w:rPr>
        <w:t>and</w:t>
      </w:r>
      <w:r w:rsidRPr="005C6D34">
        <w:rPr>
          <w:rFonts w:cstheme="minorHAnsi"/>
          <w:sz w:val="24"/>
          <w:szCs w:val="24"/>
        </w:rPr>
        <w:t xml:space="preserve"> other macroeconomic outlooks as variables to measure changes in voter behaviour. The central thesis of the MWM is that voter behaviour is shaped </w:t>
      </w:r>
      <w:r w:rsidR="003B68FE" w:rsidRPr="005C6D34">
        <w:rPr>
          <w:rFonts w:cstheme="minorHAnsi"/>
          <w:sz w:val="24"/>
          <w:szCs w:val="24"/>
        </w:rPr>
        <w:t>in one</w:t>
      </w:r>
      <w:r w:rsidRPr="005C6D34">
        <w:rPr>
          <w:rFonts w:cstheme="minorHAnsi"/>
          <w:sz w:val="24"/>
          <w:szCs w:val="24"/>
        </w:rPr>
        <w:t xml:space="preserve"> of </w:t>
      </w:r>
      <w:r w:rsidR="00D416C7" w:rsidRPr="005C6D34">
        <w:rPr>
          <w:rFonts w:cstheme="minorHAnsi"/>
          <w:sz w:val="24"/>
          <w:szCs w:val="24"/>
        </w:rPr>
        <w:t>three ways</w:t>
      </w:r>
      <w:r w:rsidRPr="005C6D34">
        <w:rPr>
          <w:rFonts w:cstheme="minorHAnsi"/>
          <w:sz w:val="24"/>
          <w:szCs w:val="24"/>
        </w:rPr>
        <w:t xml:space="preserve"> </w:t>
      </w:r>
      <w:r w:rsidR="003B68FE" w:rsidRPr="005C6D34">
        <w:rPr>
          <w:rFonts w:cstheme="minorHAnsi"/>
          <w:sz w:val="24"/>
          <w:szCs w:val="24"/>
        </w:rPr>
        <w:t>when linked</w:t>
      </w:r>
      <w:r w:rsidRPr="005C6D34">
        <w:rPr>
          <w:rFonts w:cstheme="minorHAnsi"/>
          <w:sz w:val="24"/>
          <w:szCs w:val="24"/>
        </w:rPr>
        <w:t xml:space="preserve"> to </w:t>
      </w:r>
      <w:r w:rsidR="008D4325" w:rsidRPr="005C6D34">
        <w:rPr>
          <w:rFonts w:cstheme="minorHAnsi"/>
          <w:sz w:val="24"/>
          <w:szCs w:val="24"/>
        </w:rPr>
        <w:t>socio</w:t>
      </w:r>
      <w:r w:rsidR="002F369E" w:rsidRPr="005C6D34">
        <w:rPr>
          <w:rFonts w:cstheme="minorHAnsi"/>
          <w:sz w:val="24"/>
          <w:szCs w:val="24"/>
        </w:rPr>
        <w:t>-</w:t>
      </w:r>
      <w:r w:rsidR="008D4325" w:rsidRPr="005C6D34">
        <w:rPr>
          <w:rFonts w:cstheme="minorHAnsi"/>
          <w:sz w:val="24"/>
          <w:szCs w:val="24"/>
        </w:rPr>
        <w:t>economic factors</w:t>
      </w:r>
      <w:r w:rsidR="00D416C7" w:rsidRPr="005C6D34">
        <w:rPr>
          <w:rFonts w:cstheme="minorHAnsi"/>
          <w:sz w:val="24"/>
          <w:szCs w:val="24"/>
        </w:rPr>
        <w:t>. V</w:t>
      </w:r>
      <w:r w:rsidRPr="005C6D34">
        <w:rPr>
          <w:rFonts w:cstheme="minorHAnsi"/>
          <w:sz w:val="24"/>
          <w:szCs w:val="24"/>
        </w:rPr>
        <w:t>oters voice their rejection of incumbents (</w:t>
      </w:r>
      <w:r w:rsidR="003B68FE" w:rsidRPr="005C6D34">
        <w:rPr>
          <w:rFonts w:cstheme="minorHAnsi"/>
          <w:sz w:val="24"/>
          <w:szCs w:val="24"/>
        </w:rPr>
        <w:t>m</w:t>
      </w:r>
      <w:r w:rsidRPr="005C6D34">
        <w:rPr>
          <w:rFonts w:cstheme="minorHAnsi"/>
          <w:sz w:val="24"/>
          <w:szCs w:val="24"/>
        </w:rPr>
        <w:t xml:space="preserve">obilisation </w:t>
      </w:r>
      <w:r w:rsidR="003B68FE" w:rsidRPr="005C6D34">
        <w:rPr>
          <w:rFonts w:cstheme="minorHAnsi"/>
          <w:sz w:val="24"/>
          <w:szCs w:val="24"/>
        </w:rPr>
        <w:t>e</w:t>
      </w:r>
      <w:r w:rsidRPr="005C6D34">
        <w:rPr>
          <w:rFonts w:cstheme="minorHAnsi"/>
          <w:sz w:val="24"/>
          <w:szCs w:val="24"/>
        </w:rPr>
        <w:t>ffects)</w:t>
      </w:r>
      <w:r w:rsidR="003B68FE" w:rsidRPr="005C6D34">
        <w:rPr>
          <w:rFonts w:cstheme="minorHAnsi"/>
          <w:sz w:val="24"/>
          <w:szCs w:val="24"/>
        </w:rPr>
        <w:t xml:space="preserve">, </w:t>
      </w:r>
      <w:r w:rsidRPr="005C6D34">
        <w:rPr>
          <w:rFonts w:cstheme="minorHAnsi"/>
          <w:sz w:val="24"/>
          <w:szCs w:val="24"/>
        </w:rPr>
        <w:t>refrain from participation altogether (</w:t>
      </w:r>
      <w:r w:rsidR="003B68FE" w:rsidRPr="005C6D34">
        <w:rPr>
          <w:rFonts w:cstheme="minorHAnsi"/>
          <w:sz w:val="24"/>
          <w:szCs w:val="24"/>
        </w:rPr>
        <w:t>w</w:t>
      </w:r>
      <w:r w:rsidRPr="005C6D34">
        <w:rPr>
          <w:rFonts w:cstheme="minorHAnsi"/>
          <w:sz w:val="24"/>
          <w:szCs w:val="24"/>
        </w:rPr>
        <w:t xml:space="preserve">ithdrawal </w:t>
      </w:r>
      <w:r w:rsidR="003B68FE" w:rsidRPr="005C6D34">
        <w:rPr>
          <w:rFonts w:cstheme="minorHAnsi"/>
          <w:sz w:val="24"/>
          <w:szCs w:val="24"/>
        </w:rPr>
        <w:t>e</w:t>
      </w:r>
      <w:r w:rsidRPr="005C6D34">
        <w:rPr>
          <w:rFonts w:cstheme="minorHAnsi"/>
          <w:sz w:val="24"/>
          <w:szCs w:val="24"/>
        </w:rPr>
        <w:t>ffects)</w:t>
      </w:r>
      <w:r w:rsidR="002D0724">
        <w:rPr>
          <w:rFonts w:cstheme="minorHAnsi"/>
          <w:sz w:val="24"/>
          <w:szCs w:val="24"/>
        </w:rPr>
        <w:t>, or have</w:t>
      </w:r>
      <w:r w:rsidR="003B68FE" w:rsidRPr="005C6D34">
        <w:rPr>
          <w:rFonts w:cstheme="minorHAnsi"/>
          <w:sz w:val="24"/>
          <w:szCs w:val="24"/>
        </w:rPr>
        <w:t xml:space="preserve"> </w:t>
      </w:r>
      <w:r w:rsidRPr="005C6D34">
        <w:rPr>
          <w:rFonts w:cstheme="minorHAnsi"/>
          <w:sz w:val="24"/>
          <w:szCs w:val="24"/>
        </w:rPr>
        <w:t>no effect</w:t>
      </w:r>
      <w:r w:rsidR="002F369E" w:rsidRPr="005C6D34">
        <w:rPr>
          <w:rFonts w:cstheme="minorHAnsi"/>
          <w:sz w:val="24"/>
          <w:szCs w:val="24"/>
        </w:rPr>
        <w:t>s</w:t>
      </w:r>
      <w:r w:rsidRPr="005C6D34">
        <w:rPr>
          <w:rFonts w:cstheme="minorHAnsi"/>
          <w:sz w:val="24"/>
          <w:szCs w:val="24"/>
        </w:rPr>
        <w:t xml:space="preserve"> at all.</w:t>
      </w:r>
    </w:p>
    <w:p w14:paraId="3C8C558A" w14:textId="1E80D022" w:rsidR="00D96A75" w:rsidRPr="005C6D34" w:rsidRDefault="00D96A75" w:rsidP="00772E3E">
      <w:pPr>
        <w:pStyle w:val="ListParagraph"/>
        <w:numPr>
          <w:ilvl w:val="1"/>
          <w:numId w:val="5"/>
        </w:numPr>
        <w:spacing w:line="360" w:lineRule="auto"/>
        <w:jc w:val="both"/>
        <w:rPr>
          <w:rFonts w:cstheme="minorHAnsi"/>
          <w:b/>
          <w:bCs/>
          <w:i/>
          <w:sz w:val="24"/>
          <w:szCs w:val="24"/>
        </w:rPr>
      </w:pPr>
      <w:r w:rsidRPr="005C6D34">
        <w:rPr>
          <w:rFonts w:cstheme="minorHAnsi"/>
          <w:b/>
          <w:bCs/>
          <w:i/>
          <w:sz w:val="24"/>
          <w:szCs w:val="24"/>
        </w:rPr>
        <w:t xml:space="preserve">Mobilisation </w:t>
      </w:r>
      <w:r w:rsidR="003B68FE" w:rsidRPr="005C6D34">
        <w:rPr>
          <w:rFonts w:cstheme="minorHAnsi"/>
          <w:b/>
          <w:bCs/>
          <w:i/>
          <w:sz w:val="24"/>
          <w:szCs w:val="24"/>
        </w:rPr>
        <w:t>E</w:t>
      </w:r>
      <w:r w:rsidR="00335F22" w:rsidRPr="005C6D34">
        <w:rPr>
          <w:rFonts w:cstheme="minorHAnsi"/>
          <w:b/>
          <w:bCs/>
          <w:i/>
          <w:sz w:val="24"/>
          <w:szCs w:val="24"/>
        </w:rPr>
        <w:t>ffects</w:t>
      </w:r>
      <w:r w:rsidR="00153C37" w:rsidRPr="005C6D34">
        <w:rPr>
          <w:rFonts w:cstheme="minorHAnsi"/>
          <w:b/>
          <w:bCs/>
          <w:i/>
          <w:sz w:val="24"/>
          <w:szCs w:val="24"/>
        </w:rPr>
        <w:t xml:space="preserve">, </w:t>
      </w:r>
      <w:r w:rsidR="003B68FE" w:rsidRPr="005C6D34">
        <w:rPr>
          <w:rFonts w:cstheme="minorHAnsi"/>
          <w:b/>
          <w:bCs/>
          <w:i/>
          <w:sz w:val="24"/>
          <w:szCs w:val="24"/>
        </w:rPr>
        <w:t>W</w:t>
      </w:r>
      <w:r w:rsidR="00153C37" w:rsidRPr="005C6D34">
        <w:rPr>
          <w:rFonts w:cstheme="minorHAnsi"/>
          <w:b/>
          <w:bCs/>
          <w:i/>
          <w:sz w:val="24"/>
          <w:szCs w:val="24"/>
        </w:rPr>
        <w:t xml:space="preserve">ithdrawal </w:t>
      </w:r>
      <w:r w:rsidR="003B68FE" w:rsidRPr="005C6D34">
        <w:rPr>
          <w:rFonts w:cstheme="minorHAnsi"/>
          <w:b/>
          <w:bCs/>
          <w:i/>
          <w:sz w:val="24"/>
          <w:szCs w:val="24"/>
        </w:rPr>
        <w:t>E</w:t>
      </w:r>
      <w:r w:rsidR="00153C37" w:rsidRPr="005C6D34">
        <w:rPr>
          <w:rFonts w:cstheme="minorHAnsi"/>
          <w:b/>
          <w:bCs/>
          <w:i/>
          <w:sz w:val="24"/>
          <w:szCs w:val="24"/>
        </w:rPr>
        <w:t xml:space="preserve">ffects </w:t>
      </w:r>
      <w:r w:rsidR="002F369E" w:rsidRPr="005C6D34">
        <w:rPr>
          <w:rFonts w:cstheme="minorHAnsi"/>
          <w:b/>
          <w:bCs/>
          <w:i/>
          <w:sz w:val="24"/>
          <w:szCs w:val="24"/>
        </w:rPr>
        <w:t>and</w:t>
      </w:r>
      <w:r w:rsidR="00153C37" w:rsidRPr="005C6D34">
        <w:rPr>
          <w:rFonts w:cstheme="minorHAnsi"/>
          <w:b/>
          <w:bCs/>
          <w:i/>
          <w:sz w:val="24"/>
          <w:szCs w:val="24"/>
        </w:rPr>
        <w:t xml:space="preserve"> </w:t>
      </w:r>
      <w:r w:rsidR="002F369E" w:rsidRPr="005C6D34">
        <w:rPr>
          <w:rFonts w:cstheme="minorHAnsi"/>
          <w:b/>
          <w:bCs/>
          <w:i/>
          <w:sz w:val="24"/>
          <w:szCs w:val="24"/>
        </w:rPr>
        <w:t xml:space="preserve">Zero </w:t>
      </w:r>
      <w:r w:rsidR="003B68FE" w:rsidRPr="005C6D34">
        <w:rPr>
          <w:rFonts w:cstheme="minorHAnsi"/>
          <w:b/>
          <w:bCs/>
          <w:i/>
          <w:sz w:val="24"/>
          <w:szCs w:val="24"/>
        </w:rPr>
        <w:t>E</w:t>
      </w:r>
      <w:r w:rsidR="00153C37" w:rsidRPr="005C6D34">
        <w:rPr>
          <w:rFonts w:cstheme="minorHAnsi"/>
          <w:b/>
          <w:bCs/>
          <w:i/>
          <w:sz w:val="24"/>
          <w:szCs w:val="24"/>
        </w:rPr>
        <w:t>ffects</w:t>
      </w:r>
      <w:r w:rsidR="001E18B7" w:rsidRPr="005C6D34">
        <w:rPr>
          <w:rFonts w:cstheme="minorHAnsi"/>
          <w:b/>
          <w:bCs/>
          <w:i/>
          <w:sz w:val="24"/>
          <w:szCs w:val="24"/>
        </w:rPr>
        <w:t xml:space="preserve"> of </w:t>
      </w:r>
      <w:r w:rsidR="003B68FE" w:rsidRPr="005C6D34">
        <w:rPr>
          <w:rFonts w:cstheme="minorHAnsi"/>
          <w:b/>
          <w:bCs/>
          <w:i/>
          <w:sz w:val="24"/>
          <w:szCs w:val="24"/>
        </w:rPr>
        <w:t>S</w:t>
      </w:r>
      <w:r w:rsidR="00A518A5" w:rsidRPr="005C6D34">
        <w:rPr>
          <w:rFonts w:cstheme="minorHAnsi"/>
          <w:b/>
          <w:bCs/>
          <w:i/>
          <w:sz w:val="24"/>
          <w:szCs w:val="24"/>
        </w:rPr>
        <w:t>ocio</w:t>
      </w:r>
      <w:r w:rsidR="002F369E" w:rsidRPr="005C6D34">
        <w:rPr>
          <w:rFonts w:cstheme="minorHAnsi"/>
          <w:b/>
          <w:bCs/>
          <w:i/>
          <w:sz w:val="24"/>
          <w:szCs w:val="24"/>
        </w:rPr>
        <w:t>-</w:t>
      </w:r>
      <w:r w:rsidR="003B68FE" w:rsidRPr="005C6D34">
        <w:rPr>
          <w:rFonts w:cstheme="minorHAnsi"/>
          <w:b/>
          <w:bCs/>
          <w:i/>
          <w:sz w:val="24"/>
          <w:szCs w:val="24"/>
        </w:rPr>
        <w:t>E</w:t>
      </w:r>
      <w:r w:rsidR="00A518A5" w:rsidRPr="005C6D34">
        <w:rPr>
          <w:rFonts w:cstheme="minorHAnsi"/>
          <w:b/>
          <w:bCs/>
          <w:i/>
          <w:sz w:val="24"/>
          <w:szCs w:val="24"/>
        </w:rPr>
        <w:t xml:space="preserve">conomic </w:t>
      </w:r>
      <w:r w:rsidR="003B68FE" w:rsidRPr="005C6D34">
        <w:rPr>
          <w:rFonts w:cstheme="minorHAnsi"/>
          <w:b/>
          <w:bCs/>
          <w:i/>
          <w:sz w:val="24"/>
          <w:szCs w:val="24"/>
        </w:rPr>
        <w:t>F</w:t>
      </w:r>
      <w:r w:rsidR="00A518A5" w:rsidRPr="005C6D34">
        <w:rPr>
          <w:rFonts w:cstheme="minorHAnsi"/>
          <w:b/>
          <w:bCs/>
          <w:i/>
          <w:sz w:val="24"/>
          <w:szCs w:val="24"/>
        </w:rPr>
        <w:t>actors</w:t>
      </w:r>
    </w:p>
    <w:p w14:paraId="01BB7A3A" w14:textId="1B9EA3C8" w:rsidR="00D96A75" w:rsidRPr="005C6D34" w:rsidRDefault="00100D39" w:rsidP="000A687F">
      <w:pPr>
        <w:spacing w:line="360" w:lineRule="auto"/>
        <w:jc w:val="both"/>
        <w:rPr>
          <w:rFonts w:cstheme="minorHAnsi"/>
          <w:sz w:val="24"/>
          <w:szCs w:val="24"/>
        </w:rPr>
      </w:pPr>
      <w:r w:rsidRPr="005C6D34">
        <w:rPr>
          <w:rFonts w:cstheme="minorHAnsi"/>
          <w:sz w:val="24"/>
          <w:szCs w:val="24"/>
        </w:rPr>
        <w:t>Generally,</w:t>
      </w:r>
      <w:r w:rsidR="00D96A75" w:rsidRPr="005C6D34">
        <w:rPr>
          <w:rFonts w:cstheme="minorHAnsi"/>
          <w:sz w:val="24"/>
          <w:szCs w:val="24"/>
        </w:rPr>
        <w:t xml:space="preserve"> unfavourable </w:t>
      </w:r>
      <w:bookmarkStart w:id="0" w:name="_Hlk114948465"/>
      <w:r w:rsidR="008D4325" w:rsidRPr="005C6D34">
        <w:rPr>
          <w:rFonts w:cstheme="minorHAnsi"/>
          <w:sz w:val="24"/>
          <w:szCs w:val="24"/>
        </w:rPr>
        <w:t>socio</w:t>
      </w:r>
      <w:r w:rsidR="002F369E" w:rsidRPr="005C6D34">
        <w:rPr>
          <w:rFonts w:cstheme="minorHAnsi"/>
          <w:sz w:val="24"/>
          <w:szCs w:val="24"/>
        </w:rPr>
        <w:t>-</w:t>
      </w:r>
      <w:r w:rsidR="008D4325" w:rsidRPr="005C6D34">
        <w:rPr>
          <w:rFonts w:cstheme="minorHAnsi"/>
          <w:sz w:val="24"/>
          <w:szCs w:val="24"/>
        </w:rPr>
        <w:t>economic factors</w:t>
      </w:r>
      <w:r w:rsidR="00D96A75" w:rsidRPr="005C6D34">
        <w:rPr>
          <w:rFonts w:cstheme="minorHAnsi"/>
          <w:sz w:val="24"/>
          <w:szCs w:val="24"/>
        </w:rPr>
        <w:t xml:space="preserve"> </w:t>
      </w:r>
      <w:bookmarkEnd w:id="0"/>
      <w:r w:rsidR="00D96A75" w:rsidRPr="005C6D34">
        <w:rPr>
          <w:rFonts w:cstheme="minorHAnsi"/>
          <w:sz w:val="24"/>
          <w:szCs w:val="24"/>
        </w:rPr>
        <w:t>ha</w:t>
      </w:r>
      <w:r w:rsidR="00C87199" w:rsidRPr="005C6D34">
        <w:rPr>
          <w:rFonts w:cstheme="minorHAnsi"/>
          <w:sz w:val="24"/>
          <w:szCs w:val="24"/>
        </w:rPr>
        <w:t>ve</w:t>
      </w:r>
      <w:r w:rsidR="00D96A75" w:rsidRPr="005C6D34">
        <w:rPr>
          <w:rFonts w:cstheme="minorHAnsi"/>
          <w:sz w:val="24"/>
          <w:szCs w:val="24"/>
        </w:rPr>
        <w:t xml:space="preserve"> mobilising effects on voter behaviour. </w:t>
      </w:r>
      <w:r w:rsidR="004363FE" w:rsidRPr="005C6D34">
        <w:rPr>
          <w:rFonts w:cstheme="minorHAnsi"/>
          <w:sz w:val="24"/>
          <w:szCs w:val="24"/>
        </w:rPr>
        <w:t xml:space="preserve">It </w:t>
      </w:r>
      <w:r w:rsidRPr="005C6D34">
        <w:rPr>
          <w:rFonts w:cstheme="minorHAnsi"/>
          <w:sz w:val="24"/>
          <w:szCs w:val="24"/>
        </w:rPr>
        <w:t>has been</w:t>
      </w:r>
      <w:r w:rsidR="004363FE" w:rsidRPr="005C6D34">
        <w:rPr>
          <w:rFonts w:cstheme="minorHAnsi"/>
          <w:sz w:val="24"/>
          <w:szCs w:val="24"/>
        </w:rPr>
        <w:t xml:space="preserve"> said that</w:t>
      </w:r>
      <w:r w:rsidR="00D96A75" w:rsidRPr="005C6D34">
        <w:rPr>
          <w:rFonts w:cstheme="minorHAnsi"/>
          <w:sz w:val="24"/>
          <w:szCs w:val="24"/>
        </w:rPr>
        <w:t xml:space="preserve"> unfavourable </w:t>
      </w:r>
      <w:r w:rsidR="008D4325" w:rsidRPr="005C6D34">
        <w:rPr>
          <w:rFonts w:cstheme="minorHAnsi"/>
          <w:sz w:val="24"/>
          <w:szCs w:val="24"/>
        </w:rPr>
        <w:t>socio</w:t>
      </w:r>
      <w:r w:rsidR="002F369E" w:rsidRPr="005C6D34">
        <w:rPr>
          <w:rFonts w:cstheme="minorHAnsi"/>
          <w:sz w:val="24"/>
          <w:szCs w:val="24"/>
        </w:rPr>
        <w:t>-</w:t>
      </w:r>
      <w:r w:rsidR="008D4325" w:rsidRPr="005C6D34">
        <w:rPr>
          <w:rFonts w:cstheme="minorHAnsi"/>
          <w:sz w:val="24"/>
          <w:szCs w:val="24"/>
        </w:rPr>
        <w:t xml:space="preserve">economic </w:t>
      </w:r>
      <w:r w:rsidR="000E2544" w:rsidRPr="005C6D34">
        <w:rPr>
          <w:rFonts w:cstheme="minorHAnsi"/>
          <w:sz w:val="24"/>
          <w:szCs w:val="24"/>
        </w:rPr>
        <w:t>factors</w:t>
      </w:r>
      <w:r w:rsidR="00D96A75" w:rsidRPr="005C6D34">
        <w:rPr>
          <w:rFonts w:cstheme="minorHAnsi"/>
          <w:sz w:val="24"/>
          <w:szCs w:val="24"/>
        </w:rPr>
        <w:t xml:space="preserve"> </w:t>
      </w:r>
      <w:r w:rsidRPr="005C6D34">
        <w:rPr>
          <w:rFonts w:cstheme="minorHAnsi"/>
          <w:sz w:val="24"/>
          <w:szCs w:val="24"/>
        </w:rPr>
        <w:t>‘</w:t>
      </w:r>
      <w:r w:rsidR="00D96A75" w:rsidRPr="005C6D34">
        <w:rPr>
          <w:rFonts w:cstheme="minorHAnsi"/>
          <w:sz w:val="24"/>
          <w:szCs w:val="24"/>
        </w:rPr>
        <w:t>bring out the votes</w:t>
      </w:r>
      <w:r w:rsidRPr="005C6D34">
        <w:rPr>
          <w:rFonts w:cstheme="minorHAnsi"/>
          <w:sz w:val="24"/>
          <w:szCs w:val="24"/>
        </w:rPr>
        <w:t>’</w:t>
      </w:r>
      <w:r w:rsidR="00A10B02" w:rsidRPr="005C6D34">
        <w:rPr>
          <w:rFonts w:cstheme="minorHAnsi"/>
          <w:sz w:val="24"/>
          <w:szCs w:val="24"/>
        </w:rPr>
        <w:t xml:space="preserve"> (Burden and&amp; </w:t>
      </w:r>
      <w:proofErr w:type="spellStart"/>
      <w:r w:rsidR="00A10B02" w:rsidRPr="005C6D34">
        <w:rPr>
          <w:rFonts w:cstheme="minorHAnsi"/>
          <w:sz w:val="24"/>
          <w:szCs w:val="24"/>
        </w:rPr>
        <w:t>Wichowsky</w:t>
      </w:r>
      <w:proofErr w:type="spellEnd"/>
      <w:r w:rsidR="00A10B02" w:rsidRPr="005C6D34">
        <w:rPr>
          <w:rFonts w:cstheme="minorHAnsi"/>
          <w:sz w:val="24"/>
          <w:szCs w:val="24"/>
        </w:rPr>
        <w:t xml:space="preserve"> (2014</w:t>
      </w:r>
      <w:r w:rsidR="00EB063E" w:rsidRPr="005C6D34">
        <w:rPr>
          <w:rFonts w:cstheme="minorHAnsi"/>
          <w:sz w:val="24"/>
          <w:szCs w:val="24"/>
        </w:rPr>
        <w:t>: 897)</w:t>
      </w:r>
      <w:r w:rsidR="00D96A75" w:rsidRPr="005C6D34">
        <w:rPr>
          <w:rFonts w:cstheme="minorHAnsi"/>
          <w:sz w:val="24"/>
          <w:szCs w:val="24"/>
        </w:rPr>
        <w:t xml:space="preserve">. Burden </w:t>
      </w:r>
      <w:r w:rsidR="00087427" w:rsidRPr="005C6D34">
        <w:rPr>
          <w:rFonts w:cstheme="minorHAnsi"/>
          <w:sz w:val="24"/>
          <w:szCs w:val="24"/>
        </w:rPr>
        <w:t>&amp;</w:t>
      </w:r>
      <w:r w:rsidR="00D96A75" w:rsidRPr="005C6D34">
        <w:rPr>
          <w:rFonts w:cstheme="minorHAnsi"/>
          <w:sz w:val="24"/>
          <w:szCs w:val="24"/>
        </w:rPr>
        <w:t xml:space="preserve"> </w:t>
      </w:r>
      <w:proofErr w:type="spellStart"/>
      <w:r w:rsidR="00D96A75" w:rsidRPr="005C6D34">
        <w:rPr>
          <w:rFonts w:cstheme="minorHAnsi"/>
          <w:sz w:val="24"/>
          <w:szCs w:val="24"/>
        </w:rPr>
        <w:t>Wichowsky</w:t>
      </w:r>
      <w:proofErr w:type="spellEnd"/>
      <w:r w:rsidR="00D96A75" w:rsidRPr="005C6D34">
        <w:rPr>
          <w:rFonts w:cstheme="minorHAnsi"/>
          <w:sz w:val="24"/>
          <w:szCs w:val="24"/>
        </w:rPr>
        <w:t xml:space="preserve"> (2014</w:t>
      </w:r>
      <w:r w:rsidR="00EB063E" w:rsidRPr="005C6D34">
        <w:rPr>
          <w:rFonts w:cstheme="minorHAnsi"/>
          <w:sz w:val="24"/>
          <w:szCs w:val="24"/>
        </w:rPr>
        <w:t>: 897</w:t>
      </w:r>
      <w:r w:rsidR="00D96A75" w:rsidRPr="005C6D34">
        <w:rPr>
          <w:rFonts w:cstheme="minorHAnsi"/>
          <w:sz w:val="24"/>
          <w:szCs w:val="24"/>
        </w:rPr>
        <w:t>)</w:t>
      </w:r>
      <w:r w:rsidRPr="005C6D34">
        <w:rPr>
          <w:rFonts w:cstheme="minorHAnsi"/>
          <w:sz w:val="24"/>
          <w:szCs w:val="24"/>
        </w:rPr>
        <w:t xml:space="preserve"> stated</w:t>
      </w:r>
      <w:r w:rsidR="00D96A75" w:rsidRPr="005C6D34">
        <w:rPr>
          <w:rFonts w:cstheme="minorHAnsi"/>
          <w:sz w:val="24"/>
          <w:szCs w:val="24"/>
        </w:rPr>
        <w:t xml:space="preserve"> that unemployment </w:t>
      </w:r>
      <w:r w:rsidRPr="005C6D34">
        <w:rPr>
          <w:rFonts w:cstheme="minorHAnsi"/>
          <w:sz w:val="24"/>
          <w:szCs w:val="24"/>
        </w:rPr>
        <w:t>‘</w:t>
      </w:r>
      <w:r w:rsidR="00D96A75" w:rsidRPr="005C6D34">
        <w:rPr>
          <w:rFonts w:cstheme="minorHAnsi"/>
          <w:sz w:val="24"/>
          <w:szCs w:val="24"/>
        </w:rPr>
        <w:t>bring</w:t>
      </w:r>
      <w:r w:rsidRPr="005C6D34">
        <w:rPr>
          <w:rFonts w:cstheme="minorHAnsi"/>
          <w:sz w:val="24"/>
          <w:szCs w:val="24"/>
        </w:rPr>
        <w:t>s</w:t>
      </w:r>
      <w:r w:rsidR="00D96A75" w:rsidRPr="005C6D34">
        <w:rPr>
          <w:rFonts w:cstheme="minorHAnsi"/>
          <w:sz w:val="24"/>
          <w:szCs w:val="24"/>
        </w:rPr>
        <w:t xml:space="preserve"> out more voters</w:t>
      </w:r>
      <w:r w:rsidRPr="005C6D34">
        <w:rPr>
          <w:rFonts w:cstheme="minorHAnsi"/>
          <w:sz w:val="24"/>
          <w:szCs w:val="24"/>
        </w:rPr>
        <w:t>’</w:t>
      </w:r>
      <w:r w:rsidR="00D96A75" w:rsidRPr="005C6D34">
        <w:rPr>
          <w:rFonts w:cstheme="minorHAnsi"/>
          <w:sz w:val="24"/>
          <w:szCs w:val="24"/>
        </w:rPr>
        <w:t xml:space="preserve">. </w:t>
      </w:r>
      <w:r w:rsidR="7A7E8119" w:rsidRPr="005C6D34">
        <w:rPr>
          <w:rFonts w:cstheme="minorHAnsi"/>
          <w:sz w:val="24"/>
          <w:szCs w:val="24"/>
        </w:rPr>
        <w:t xml:space="preserve">Martins </w:t>
      </w:r>
      <w:r w:rsidR="00087427" w:rsidRPr="005C6D34">
        <w:rPr>
          <w:rFonts w:cstheme="minorHAnsi"/>
          <w:sz w:val="24"/>
          <w:szCs w:val="24"/>
        </w:rPr>
        <w:t>&amp;</w:t>
      </w:r>
      <w:r w:rsidR="7A7E8119" w:rsidRPr="005C6D34">
        <w:rPr>
          <w:rFonts w:cstheme="minorHAnsi"/>
          <w:sz w:val="24"/>
          <w:szCs w:val="24"/>
        </w:rPr>
        <w:t xml:space="preserve"> </w:t>
      </w:r>
      <w:proofErr w:type="spellStart"/>
      <w:r w:rsidR="7A7E8119" w:rsidRPr="005C6D34">
        <w:rPr>
          <w:rFonts w:cstheme="minorHAnsi"/>
          <w:sz w:val="24"/>
          <w:szCs w:val="24"/>
        </w:rPr>
        <w:t>Veiga</w:t>
      </w:r>
      <w:proofErr w:type="spellEnd"/>
      <w:r w:rsidR="7A7E8119" w:rsidRPr="005C6D34">
        <w:rPr>
          <w:rFonts w:cstheme="minorHAnsi"/>
          <w:sz w:val="24"/>
          <w:szCs w:val="24"/>
        </w:rPr>
        <w:t xml:space="preserve"> (2014) observed that local economic factors</w:t>
      </w:r>
      <w:r w:rsidR="002F369E" w:rsidRPr="005C6D34">
        <w:rPr>
          <w:rFonts w:cstheme="minorHAnsi"/>
          <w:sz w:val="24"/>
          <w:szCs w:val="24"/>
        </w:rPr>
        <w:t>,</w:t>
      </w:r>
      <w:r w:rsidR="7A7E8119" w:rsidRPr="005C6D34">
        <w:rPr>
          <w:rFonts w:cstheme="minorHAnsi"/>
          <w:sz w:val="24"/>
          <w:szCs w:val="24"/>
        </w:rPr>
        <w:t xml:space="preserve"> </w:t>
      </w:r>
      <w:r w:rsidRPr="005C6D34">
        <w:rPr>
          <w:rFonts w:cstheme="minorHAnsi"/>
          <w:sz w:val="24"/>
          <w:szCs w:val="24"/>
        </w:rPr>
        <w:t xml:space="preserve">such as </w:t>
      </w:r>
      <w:r w:rsidR="7A7E8119" w:rsidRPr="005C6D34">
        <w:rPr>
          <w:rFonts w:cstheme="minorHAnsi"/>
          <w:sz w:val="24"/>
          <w:szCs w:val="24"/>
        </w:rPr>
        <w:t xml:space="preserve">recession, inflation </w:t>
      </w:r>
      <w:r w:rsidR="002F369E" w:rsidRPr="005C6D34">
        <w:rPr>
          <w:rFonts w:cstheme="minorHAnsi"/>
          <w:sz w:val="24"/>
          <w:szCs w:val="24"/>
        </w:rPr>
        <w:t>and</w:t>
      </w:r>
      <w:r w:rsidR="7A7E8119" w:rsidRPr="005C6D34">
        <w:rPr>
          <w:rFonts w:cstheme="minorHAnsi"/>
          <w:sz w:val="24"/>
          <w:szCs w:val="24"/>
        </w:rPr>
        <w:t xml:space="preserve"> other macroeconomic issues</w:t>
      </w:r>
      <w:r w:rsidR="002F369E" w:rsidRPr="005C6D34">
        <w:rPr>
          <w:rFonts w:cstheme="minorHAnsi"/>
          <w:sz w:val="24"/>
          <w:szCs w:val="24"/>
        </w:rPr>
        <w:t>,</w:t>
      </w:r>
      <w:r w:rsidR="7A7E8119" w:rsidRPr="005C6D34">
        <w:rPr>
          <w:rFonts w:cstheme="minorHAnsi"/>
          <w:sz w:val="24"/>
          <w:szCs w:val="24"/>
        </w:rPr>
        <w:t xml:space="preserve"> could significantly influence whether or not voters reward incumbents with r</w:t>
      </w:r>
      <w:r w:rsidR="000602FD" w:rsidRPr="005C6D34">
        <w:rPr>
          <w:rFonts w:cstheme="minorHAnsi"/>
          <w:sz w:val="24"/>
          <w:szCs w:val="24"/>
        </w:rPr>
        <w:t>e</w:t>
      </w:r>
      <w:r w:rsidR="00D416C7" w:rsidRPr="005C6D34">
        <w:rPr>
          <w:rFonts w:cstheme="minorHAnsi"/>
          <w:sz w:val="24"/>
          <w:szCs w:val="24"/>
        </w:rPr>
        <w:t>-</w:t>
      </w:r>
      <w:r w:rsidR="000602FD" w:rsidRPr="005C6D34">
        <w:rPr>
          <w:rFonts w:cstheme="minorHAnsi"/>
          <w:sz w:val="24"/>
          <w:szCs w:val="24"/>
        </w:rPr>
        <w:t xml:space="preserve">election. </w:t>
      </w:r>
      <w:r w:rsidR="00AD6B1F" w:rsidRPr="005C6D34">
        <w:rPr>
          <w:rFonts w:cstheme="minorHAnsi"/>
          <w:sz w:val="24"/>
          <w:szCs w:val="24"/>
        </w:rPr>
        <w:t xml:space="preserve">Voters </w:t>
      </w:r>
      <w:r w:rsidR="7A7E8119" w:rsidRPr="005C6D34">
        <w:rPr>
          <w:rFonts w:cstheme="minorHAnsi"/>
          <w:sz w:val="24"/>
          <w:szCs w:val="24"/>
        </w:rPr>
        <w:t>tend to remove incumbents due to</w:t>
      </w:r>
      <w:r w:rsidRPr="005C6D34">
        <w:rPr>
          <w:rFonts w:cstheme="minorHAnsi"/>
          <w:sz w:val="24"/>
          <w:szCs w:val="24"/>
        </w:rPr>
        <w:t xml:space="preserve"> </w:t>
      </w:r>
      <w:r w:rsidR="7A7E8119" w:rsidRPr="005C6D34">
        <w:rPr>
          <w:rFonts w:cstheme="minorHAnsi"/>
          <w:sz w:val="24"/>
          <w:szCs w:val="24"/>
        </w:rPr>
        <w:t>challenging socio</w:t>
      </w:r>
      <w:r w:rsidR="002F369E" w:rsidRPr="005C6D34">
        <w:rPr>
          <w:rFonts w:cstheme="minorHAnsi"/>
          <w:sz w:val="24"/>
          <w:szCs w:val="24"/>
        </w:rPr>
        <w:t>-</w:t>
      </w:r>
      <w:r w:rsidR="7A7E8119" w:rsidRPr="005C6D34">
        <w:rPr>
          <w:rFonts w:cstheme="minorHAnsi"/>
          <w:sz w:val="24"/>
          <w:szCs w:val="24"/>
        </w:rPr>
        <w:t>economic situation</w:t>
      </w:r>
      <w:r w:rsidR="002F369E" w:rsidRPr="005C6D34">
        <w:rPr>
          <w:rFonts w:cstheme="minorHAnsi"/>
          <w:sz w:val="24"/>
          <w:szCs w:val="24"/>
        </w:rPr>
        <w:t>s</w:t>
      </w:r>
      <w:r w:rsidR="7A7E8119" w:rsidRPr="005C6D34">
        <w:rPr>
          <w:rFonts w:cstheme="minorHAnsi"/>
          <w:sz w:val="24"/>
          <w:szCs w:val="24"/>
        </w:rPr>
        <w:t xml:space="preserve">. </w:t>
      </w:r>
      <w:r w:rsidRPr="005C6D34">
        <w:rPr>
          <w:rFonts w:cstheme="minorHAnsi"/>
          <w:sz w:val="24"/>
          <w:szCs w:val="24"/>
        </w:rPr>
        <w:t xml:space="preserve">According to the study, </w:t>
      </w:r>
      <w:r w:rsidR="00D43617" w:rsidRPr="005C6D34">
        <w:rPr>
          <w:rFonts w:cstheme="minorHAnsi"/>
          <w:sz w:val="24"/>
          <w:szCs w:val="24"/>
        </w:rPr>
        <w:t>voters</w:t>
      </w:r>
      <w:r w:rsidR="7A7E8119" w:rsidRPr="005C6D34">
        <w:rPr>
          <w:rFonts w:cstheme="minorHAnsi"/>
          <w:sz w:val="24"/>
          <w:szCs w:val="24"/>
        </w:rPr>
        <w:t xml:space="preserve"> reward</w:t>
      </w:r>
      <w:r w:rsidRPr="005C6D34">
        <w:rPr>
          <w:rFonts w:cstheme="minorHAnsi"/>
          <w:sz w:val="24"/>
          <w:szCs w:val="24"/>
        </w:rPr>
        <w:t>ed</w:t>
      </w:r>
      <w:r w:rsidR="7A7E8119" w:rsidRPr="005C6D34">
        <w:rPr>
          <w:rFonts w:cstheme="minorHAnsi"/>
          <w:sz w:val="24"/>
          <w:szCs w:val="24"/>
        </w:rPr>
        <w:t xml:space="preserve"> </w:t>
      </w:r>
      <w:r w:rsidR="00983982" w:rsidRPr="005C6D34">
        <w:rPr>
          <w:rFonts w:cstheme="minorHAnsi"/>
          <w:sz w:val="24"/>
          <w:szCs w:val="24"/>
        </w:rPr>
        <w:t>incumbents</w:t>
      </w:r>
      <w:r w:rsidR="7A7E8119" w:rsidRPr="005C6D34">
        <w:rPr>
          <w:rFonts w:cstheme="minorHAnsi"/>
          <w:sz w:val="24"/>
          <w:szCs w:val="24"/>
        </w:rPr>
        <w:t xml:space="preserve"> with re</w:t>
      </w:r>
      <w:r w:rsidR="00D416C7" w:rsidRPr="005C6D34">
        <w:rPr>
          <w:rFonts w:cstheme="minorHAnsi"/>
          <w:sz w:val="24"/>
          <w:szCs w:val="24"/>
        </w:rPr>
        <w:t>-</w:t>
      </w:r>
      <w:r w:rsidR="7A7E8119" w:rsidRPr="005C6D34">
        <w:rPr>
          <w:rFonts w:cstheme="minorHAnsi"/>
          <w:sz w:val="24"/>
          <w:szCs w:val="24"/>
        </w:rPr>
        <w:t xml:space="preserve">election </w:t>
      </w:r>
      <w:r w:rsidRPr="005C6D34">
        <w:rPr>
          <w:rFonts w:cstheme="minorHAnsi"/>
          <w:sz w:val="24"/>
          <w:szCs w:val="24"/>
        </w:rPr>
        <w:t xml:space="preserve">more </w:t>
      </w:r>
      <w:r w:rsidR="7A7E8119" w:rsidRPr="005C6D34">
        <w:rPr>
          <w:rFonts w:cstheme="minorHAnsi"/>
          <w:sz w:val="24"/>
          <w:szCs w:val="24"/>
        </w:rPr>
        <w:t xml:space="preserve">in favourable economic circumstances than in unfavourable situations. </w:t>
      </w:r>
    </w:p>
    <w:p w14:paraId="39A96A7F" w14:textId="02E51EA8" w:rsidR="005529B1" w:rsidRPr="005C6D34" w:rsidRDefault="7A7E8119" w:rsidP="000A687F">
      <w:pPr>
        <w:spacing w:line="360" w:lineRule="auto"/>
        <w:jc w:val="both"/>
        <w:rPr>
          <w:rFonts w:cstheme="minorHAnsi"/>
          <w:sz w:val="24"/>
          <w:szCs w:val="24"/>
        </w:rPr>
      </w:pPr>
      <w:r w:rsidRPr="005C6D34">
        <w:rPr>
          <w:rFonts w:eastAsia="Georgia" w:cstheme="minorHAnsi"/>
          <w:sz w:val="24"/>
          <w:szCs w:val="24"/>
        </w:rPr>
        <w:t xml:space="preserve">Martins </w:t>
      </w:r>
      <w:r w:rsidR="00087427" w:rsidRPr="005C6D34">
        <w:rPr>
          <w:rFonts w:eastAsia="Georgia" w:cstheme="minorHAnsi"/>
          <w:sz w:val="24"/>
          <w:szCs w:val="24"/>
        </w:rPr>
        <w:t>&amp;</w:t>
      </w:r>
      <w:r w:rsidRPr="005C6D34">
        <w:rPr>
          <w:rFonts w:eastAsia="Georgia" w:cstheme="minorHAnsi"/>
          <w:sz w:val="24"/>
          <w:szCs w:val="24"/>
        </w:rPr>
        <w:t xml:space="preserve"> </w:t>
      </w:r>
      <w:proofErr w:type="spellStart"/>
      <w:r w:rsidRPr="005C6D34">
        <w:rPr>
          <w:rFonts w:eastAsia="Georgia" w:cstheme="minorHAnsi"/>
          <w:sz w:val="24"/>
          <w:szCs w:val="24"/>
        </w:rPr>
        <w:t>Veiga</w:t>
      </w:r>
      <w:proofErr w:type="spellEnd"/>
      <w:r w:rsidR="00EB063E" w:rsidRPr="005C6D34">
        <w:rPr>
          <w:rFonts w:eastAsia="Georgia" w:cstheme="minorHAnsi"/>
          <w:sz w:val="24"/>
          <w:szCs w:val="24"/>
        </w:rPr>
        <w:t xml:space="preserve"> (2014)</w:t>
      </w:r>
      <w:r w:rsidRPr="005C6D34">
        <w:rPr>
          <w:rFonts w:eastAsia="Georgia" w:cstheme="minorHAnsi"/>
          <w:sz w:val="24"/>
          <w:szCs w:val="24"/>
        </w:rPr>
        <w:t>,</w:t>
      </w:r>
      <w:r w:rsidR="00100D39" w:rsidRPr="005C6D34">
        <w:rPr>
          <w:rFonts w:eastAsia="Georgia" w:cstheme="minorHAnsi"/>
          <w:sz w:val="24"/>
          <w:szCs w:val="24"/>
        </w:rPr>
        <w:t xml:space="preserve"> </w:t>
      </w:r>
      <w:r w:rsidR="00087427" w:rsidRPr="005C6D34">
        <w:rPr>
          <w:rFonts w:eastAsia="Georgia" w:cstheme="minorHAnsi"/>
          <w:sz w:val="24"/>
          <w:szCs w:val="24"/>
        </w:rPr>
        <w:t>&amp;</w:t>
      </w:r>
      <w:r w:rsidRPr="005C6D34">
        <w:rPr>
          <w:rFonts w:eastAsia="Georgia" w:cstheme="minorHAnsi"/>
          <w:sz w:val="24"/>
          <w:szCs w:val="24"/>
        </w:rPr>
        <w:t xml:space="preserve"> Frank &amp; Martínez i Coma (2021) observed that </w:t>
      </w:r>
      <w:r w:rsidR="000E2544" w:rsidRPr="005C6D34">
        <w:rPr>
          <w:rFonts w:eastAsia="Georgia" w:cstheme="minorHAnsi"/>
          <w:sz w:val="24"/>
          <w:szCs w:val="24"/>
        </w:rPr>
        <w:t>socio</w:t>
      </w:r>
      <w:r w:rsidR="00995236" w:rsidRPr="005C6D34">
        <w:rPr>
          <w:rFonts w:eastAsia="Georgia" w:cstheme="minorHAnsi"/>
          <w:sz w:val="24"/>
          <w:szCs w:val="24"/>
        </w:rPr>
        <w:t>-</w:t>
      </w:r>
      <w:r w:rsidR="000E2544" w:rsidRPr="005C6D34">
        <w:rPr>
          <w:rFonts w:eastAsia="Georgia" w:cstheme="minorHAnsi"/>
          <w:sz w:val="24"/>
          <w:szCs w:val="24"/>
        </w:rPr>
        <w:t xml:space="preserve">economic factors </w:t>
      </w:r>
      <w:r w:rsidR="00B74D91" w:rsidRPr="005C6D34">
        <w:rPr>
          <w:rFonts w:eastAsia="Georgia" w:cstheme="minorHAnsi"/>
          <w:sz w:val="24"/>
          <w:szCs w:val="24"/>
        </w:rPr>
        <w:t>could shape voter behaviour</w:t>
      </w:r>
      <w:r w:rsidRPr="005C6D34">
        <w:rPr>
          <w:rFonts w:eastAsia="Georgia" w:cstheme="minorHAnsi"/>
          <w:sz w:val="24"/>
          <w:szCs w:val="24"/>
        </w:rPr>
        <w:t xml:space="preserve"> in addition to factors </w:t>
      </w:r>
      <w:r w:rsidR="00995236" w:rsidRPr="005C6D34">
        <w:rPr>
          <w:rFonts w:eastAsia="Georgia" w:cstheme="minorHAnsi"/>
          <w:sz w:val="24"/>
          <w:szCs w:val="24"/>
        </w:rPr>
        <w:t>such as</w:t>
      </w:r>
      <w:r w:rsidRPr="005C6D34">
        <w:rPr>
          <w:rFonts w:eastAsia="Georgia" w:cstheme="minorHAnsi"/>
          <w:sz w:val="24"/>
          <w:szCs w:val="24"/>
        </w:rPr>
        <w:t xml:space="preserve"> compulsory voting, competitiveness</w:t>
      </w:r>
      <w:r w:rsidR="00100D39" w:rsidRPr="005C6D34">
        <w:rPr>
          <w:rFonts w:eastAsia="Georgia" w:cstheme="minorHAnsi"/>
          <w:sz w:val="24"/>
          <w:szCs w:val="24"/>
        </w:rPr>
        <w:t xml:space="preserve">, the </w:t>
      </w:r>
      <w:r w:rsidRPr="005C6D34">
        <w:rPr>
          <w:rFonts w:eastAsia="Georgia" w:cstheme="minorHAnsi"/>
          <w:sz w:val="24"/>
          <w:szCs w:val="24"/>
        </w:rPr>
        <w:t xml:space="preserve">ordering of elections </w:t>
      </w:r>
      <w:r w:rsidR="00D416C7" w:rsidRPr="005C6D34">
        <w:rPr>
          <w:rFonts w:eastAsia="Georgia" w:cstheme="minorHAnsi"/>
          <w:sz w:val="24"/>
          <w:szCs w:val="24"/>
        </w:rPr>
        <w:t>and</w:t>
      </w:r>
      <w:r w:rsidRPr="005C6D34">
        <w:rPr>
          <w:rFonts w:eastAsia="Georgia" w:cstheme="minorHAnsi"/>
          <w:sz w:val="24"/>
          <w:szCs w:val="24"/>
        </w:rPr>
        <w:t xml:space="preserve"> previous election outcomes.</w:t>
      </w:r>
      <w:r w:rsidR="00D43617" w:rsidRPr="005C6D34">
        <w:rPr>
          <w:rFonts w:cstheme="minorHAnsi"/>
          <w:sz w:val="24"/>
          <w:szCs w:val="24"/>
        </w:rPr>
        <w:t xml:space="preserve"> </w:t>
      </w:r>
      <w:proofErr w:type="spellStart"/>
      <w:r w:rsidR="00D96A75" w:rsidRPr="005C6D34">
        <w:rPr>
          <w:rFonts w:cstheme="minorHAnsi"/>
          <w:sz w:val="24"/>
          <w:szCs w:val="24"/>
        </w:rPr>
        <w:t>Azzollini</w:t>
      </w:r>
      <w:proofErr w:type="spellEnd"/>
      <w:r w:rsidR="00D96A75" w:rsidRPr="005C6D34">
        <w:rPr>
          <w:rFonts w:cstheme="minorHAnsi"/>
          <w:sz w:val="24"/>
          <w:szCs w:val="24"/>
        </w:rPr>
        <w:t xml:space="preserve"> (2021</w:t>
      </w:r>
      <w:r w:rsidR="00EB063E" w:rsidRPr="005C6D34">
        <w:rPr>
          <w:rFonts w:cstheme="minorHAnsi"/>
          <w:sz w:val="24"/>
          <w:szCs w:val="24"/>
        </w:rPr>
        <w:t>: 1008</w:t>
      </w:r>
      <w:r w:rsidR="00D96A75" w:rsidRPr="005C6D34">
        <w:rPr>
          <w:rFonts w:cstheme="minorHAnsi"/>
          <w:sz w:val="24"/>
          <w:szCs w:val="24"/>
        </w:rPr>
        <w:t xml:space="preserve">) noted that the </w:t>
      </w:r>
      <w:r w:rsidR="00100D39" w:rsidRPr="005C6D34">
        <w:rPr>
          <w:rFonts w:cstheme="minorHAnsi"/>
          <w:sz w:val="24"/>
          <w:szCs w:val="24"/>
        </w:rPr>
        <w:t>‘</w:t>
      </w:r>
      <w:r w:rsidR="00D96A75" w:rsidRPr="005C6D34">
        <w:rPr>
          <w:rFonts w:cstheme="minorHAnsi"/>
          <w:sz w:val="24"/>
          <w:szCs w:val="24"/>
        </w:rPr>
        <w:t>unemployment rate increases electoral participation</w:t>
      </w:r>
      <w:r w:rsidR="00100D39" w:rsidRPr="005C6D34">
        <w:rPr>
          <w:rFonts w:cstheme="minorHAnsi"/>
          <w:sz w:val="24"/>
          <w:szCs w:val="24"/>
        </w:rPr>
        <w:t>’</w:t>
      </w:r>
      <w:r w:rsidR="00D96A75" w:rsidRPr="005C6D34">
        <w:rPr>
          <w:rFonts w:cstheme="minorHAnsi"/>
          <w:sz w:val="24"/>
          <w:szCs w:val="24"/>
        </w:rPr>
        <w:t xml:space="preserve">. </w:t>
      </w:r>
      <w:r w:rsidR="009D156F" w:rsidRPr="005C6D34">
        <w:rPr>
          <w:rFonts w:cstheme="minorHAnsi"/>
          <w:sz w:val="24"/>
          <w:szCs w:val="24"/>
        </w:rPr>
        <w:t>He found that socio</w:t>
      </w:r>
      <w:r w:rsidR="00D416C7" w:rsidRPr="005C6D34">
        <w:rPr>
          <w:rFonts w:cstheme="minorHAnsi"/>
          <w:sz w:val="24"/>
          <w:szCs w:val="24"/>
        </w:rPr>
        <w:t>-</w:t>
      </w:r>
      <w:r w:rsidR="009D156F" w:rsidRPr="005C6D34">
        <w:rPr>
          <w:rFonts w:cstheme="minorHAnsi"/>
          <w:sz w:val="24"/>
          <w:szCs w:val="24"/>
        </w:rPr>
        <w:t>economic scars affect</w:t>
      </w:r>
      <w:r w:rsidR="00100D39" w:rsidRPr="005C6D34">
        <w:rPr>
          <w:rFonts w:cstheme="minorHAnsi"/>
          <w:sz w:val="24"/>
          <w:szCs w:val="24"/>
        </w:rPr>
        <w:t>ed</w:t>
      </w:r>
      <w:r w:rsidR="009D156F" w:rsidRPr="005C6D34">
        <w:rPr>
          <w:rFonts w:cstheme="minorHAnsi"/>
          <w:sz w:val="24"/>
          <w:szCs w:val="24"/>
        </w:rPr>
        <w:t xml:space="preserve"> each voter differently at the micro (individual) level</w:t>
      </w:r>
      <w:r w:rsidR="00D96A75" w:rsidRPr="005C6D34">
        <w:rPr>
          <w:rFonts w:cstheme="minorHAnsi"/>
          <w:sz w:val="24"/>
          <w:szCs w:val="24"/>
        </w:rPr>
        <w:t xml:space="preserve"> because </w:t>
      </w:r>
      <w:r w:rsidR="00100D39" w:rsidRPr="005C6D34">
        <w:rPr>
          <w:rFonts w:cstheme="minorHAnsi"/>
          <w:sz w:val="24"/>
          <w:szCs w:val="24"/>
        </w:rPr>
        <w:t>‘</w:t>
      </w:r>
      <w:r w:rsidR="00D96A75" w:rsidRPr="005C6D34">
        <w:rPr>
          <w:rFonts w:cstheme="minorHAnsi"/>
          <w:sz w:val="24"/>
          <w:szCs w:val="24"/>
        </w:rPr>
        <w:t>micro</w:t>
      </w:r>
      <w:r w:rsidR="00D416C7" w:rsidRPr="005C6D34">
        <w:rPr>
          <w:rFonts w:cstheme="minorHAnsi"/>
          <w:sz w:val="24"/>
          <w:szCs w:val="24"/>
        </w:rPr>
        <w:t>-</w:t>
      </w:r>
      <w:r w:rsidR="00D96A75" w:rsidRPr="005C6D34">
        <w:rPr>
          <w:rFonts w:cstheme="minorHAnsi"/>
          <w:sz w:val="24"/>
          <w:szCs w:val="24"/>
        </w:rPr>
        <w:t xml:space="preserve">level scar effects </w:t>
      </w:r>
      <w:r w:rsidR="00100D39" w:rsidRPr="005C6D34">
        <w:rPr>
          <w:rFonts w:cstheme="minorHAnsi"/>
          <w:sz w:val="24"/>
          <w:szCs w:val="24"/>
        </w:rPr>
        <w:t xml:space="preserve">are </w:t>
      </w:r>
      <w:r w:rsidR="00D96A75" w:rsidRPr="005C6D34">
        <w:rPr>
          <w:rFonts w:cstheme="minorHAnsi"/>
          <w:sz w:val="24"/>
          <w:szCs w:val="24"/>
        </w:rPr>
        <w:t>uniform across contexts with different unemployment rates</w:t>
      </w:r>
      <w:r w:rsidR="00100D39" w:rsidRPr="005C6D34">
        <w:rPr>
          <w:rFonts w:cstheme="minorHAnsi"/>
          <w:sz w:val="24"/>
          <w:szCs w:val="24"/>
        </w:rPr>
        <w:t>’</w:t>
      </w:r>
      <w:r w:rsidR="00D96A75" w:rsidRPr="005C6D34">
        <w:rPr>
          <w:rFonts w:cstheme="minorHAnsi"/>
          <w:sz w:val="24"/>
          <w:szCs w:val="24"/>
        </w:rPr>
        <w:t xml:space="preserve">. However, at the macro level, </w:t>
      </w:r>
      <w:r w:rsidR="00100D39" w:rsidRPr="005C6D34">
        <w:rPr>
          <w:rFonts w:cstheme="minorHAnsi"/>
          <w:sz w:val="24"/>
          <w:szCs w:val="24"/>
        </w:rPr>
        <w:t>‘</w:t>
      </w:r>
      <w:r w:rsidR="00D96A75" w:rsidRPr="005C6D34">
        <w:rPr>
          <w:rFonts w:cstheme="minorHAnsi"/>
          <w:sz w:val="24"/>
          <w:szCs w:val="24"/>
        </w:rPr>
        <w:t xml:space="preserve">higher </w:t>
      </w:r>
      <w:r w:rsidR="00A40598" w:rsidRPr="005C6D34">
        <w:rPr>
          <w:rFonts w:cstheme="minorHAnsi"/>
          <w:sz w:val="24"/>
          <w:szCs w:val="24"/>
        </w:rPr>
        <w:t>unemployment rates</w:t>
      </w:r>
      <w:r w:rsidR="00D96A75" w:rsidRPr="005C6D34">
        <w:rPr>
          <w:rFonts w:cstheme="minorHAnsi"/>
          <w:sz w:val="24"/>
          <w:szCs w:val="24"/>
        </w:rPr>
        <w:t xml:space="preserve"> may </w:t>
      </w:r>
      <w:r w:rsidR="00D96A75" w:rsidRPr="005C6D34">
        <w:rPr>
          <w:rFonts w:cstheme="minorHAnsi"/>
          <w:i/>
          <w:sz w:val="24"/>
          <w:szCs w:val="24"/>
        </w:rPr>
        <w:t>mitigate</w:t>
      </w:r>
      <w:r w:rsidR="00D96A75" w:rsidRPr="005C6D34">
        <w:rPr>
          <w:rFonts w:cstheme="minorHAnsi"/>
          <w:sz w:val="24"/>
          <w:szCs w:val="24"/>
        </w:rPr>
        <w:t xml:space="preserve"> or </w:t>
      </w:r>
      <w:r w:rsidR="00D96A75" w:rsidRPr="005C6D34">
        <w:rPr>
          <w:rFonts w:cstheme="minorHAnsi"/>
          <w:i/>
          <w:sz w:val="24"/>
          <w:szCs w:val="24"/>
        </w:rPr>
        <w:t>exacerbate</w:t>
      </w:r>
      <w:r w:rsidR="00D96A75" w:rsidRPr="005C6D34">
        <w:rPr>
          <w:rFonts w:cstheme="minorHAnsi"/>
          <w:sz w:val="24"/>
          <w:szCs w:val="24"/>
        </w:rPr>
        <w:t xml:space="preserve"> the scarring effect on turnout at the micro</w:t>
      </w:r>
      <w:r w:rsidR="00995236" w:rsidRPr="005C6D34">
        <w:rPr>
          <w:rFonts w:cstheme="minorHAnsi"/>
          <w:sz w:val="24"/>
          <w:szCs w:val="24"/>
        </w:rPr>
        <w:t xml:space="preserve"> </w:t>
      </w:r>
      <w:r w:rsidR="00D96A75" w:rsidRPr="005C6D34">
        <w:rPr>
          <w:rFonts w:cstheme="minorHAnsi"/>
          <w:sz w:val="24"/>
          <w:szCs w:val="24"/>
        </w:rPr>
        <w:t>level</w:t>
      </w:r>
      <w:r w:rsidR="00100D39" w:rsidRPr="005C6D34">
        <w:rPr>
          <w:rFonts w:cstheme="minorHAnsi"/>
          <w:sz w:val="24"/>
          <w:szCs w:val="24"/>
        </w:rPr>
        <w:t>’</w:t>
      </w:r>
      <w:r w:rsidR="00EB063E" w:rsidRPr="005C6D34">
        <w:rPr>
          <w:rFonts w:cstheme="minorHAnsi"/>
          <w:sz w:val="24"/>
          <w:szCs w:val="24"/>
        </w:rPr>
        <w:t xml:space="preserve"> (ibid, 1023).</w:t>
      </w:r>
      <w:r w:rsidR="00D96A75" w:rsidRPr="005C6D34">
        <w:rPr>
          <w:rFonts w:cstheme="minorHAnsi"/>
          <w:sz w:val="24"/>
          <w:szCs w:val="24"/>
        </w:rPr>
        <w:t xml:space="preserve"> </w:t>
      </w:r>
    </w:p>
    <w:p w14:paraId="17EE2C44" w14:textId="54C567F8" w:rsidR="00D96A75" w:rsidRPr="005C6D34" w:rsidRDefault="00D96A75" w:rsidP="000A687F">
      <w:pPr>
        <w:spacing w:line="360" w:lineRule="auto"/>
        <w:jc w:val="both"/>
        <w:rPr>
          <w:rFonts w:cstheme="minorHAnsi"/>
          <w:sz w:val="24"/>
          <w:szCs w:val="24"/>
        </w:rPr>
      </w:pPr>
      <w:proofErr w:type="spellStart"/>
      <w:r w:rsidRPr="005C6D34">
        <w:rPr>
          <w:rFonts w:cstheme="minorHAnsi"/>
          <w:sz w:val="24"/>
          <w:szCs w:val="24"/>
        </w:rPr>
        <w:t>Herodowicz</w:t>
      </w:r>
      <w:proofErr w:type="spellEnd"/>
      <w:r w:rsidRPr="005C6D34">
        <w:rPr>
          <w:rFonts w:cstheme="minorHAnsi"/>
          <w:sz w:val="24"/>
          <w:szCs w:val="24"/>
        </w:rPr>
        <w:t xml:space="preserve"> et al. (2021) </w:t>
      </w:r>
      <w:r w:rsidR="000602FD" w:rsidRPr="005C6D34">
        <w:rPr>
          <w:rFonts w:cstheme="minorHAnsi"/>
          <w:sz w:val="24"/>
          <w:szCs w:val="24"/>
        </w:rPr>
        <w:t>analysed</w:t>
      </w:r>
      <w:r w:rsidRPr="005C6D34">
        <w:rPr>
          <w:rFonts w:cstheme="minorHAnsi"/>
          <w:sz w:val="24"/>
          <w:szCs w:val="24"/>
        </w:rPr>
        <w:t xml:space="preserve"> the relationship between </w:t>
      </w:r>
      <w:r w:rsidR="00F95A48" w:rsidRPr="005C6D34">
        <w:rPr>
          <w:rFonts w:cstheme="minorHAnsi"/>
          <w:sz w:val="24"/>
          <w:szCs w:val="24"/>
        </w:rPr>
        <w:t>socio</w:t>
      </w:r>
      <w:r w:rsidR="00D416C7" w:rsidRPr="005C6D34">
        <w:rPr>
          <w:rFonts w:cstheme="minorHAnsi"/>
          <w:sz w:val="24"/>
          <w:szCs w:val="24"/>
        </w:rPr>
        <w:t>-</w:t>
      </w:r>
      <w:r w:rsidR="00F95A48" w:rsidRPr="005C6D34">
        <w:rPr>
          <w:rFonts w:cstheme="minorHAnsi"/>
          <w:sz w:val="24"/>
          <w:szCs w:val="24"/>
        </w:rPr>
        <w:t xml:space="preserve">economic factors </w:t>
      </w:r>
      <w:r w:rsidR="00021A7C" w:rsidRPr="005C6D34">
        <w:rPr>
          <w:rFonts w:cstheme="minorHAnsi"/>
          <w:sz w:val="24"/>
          <w:szCs w:val="24"/>
        </w:rPr>
        <w:t>and</w:t>
      </w:r>
      <w:r w:rsidRPr="005C6D34">
        <w:rPr>
          <w:rFonts w:cstheme="minorHAnsi"/>
          <w:sz w:val="24"/>
          <w:szCs w:val="24"/>
        </w:rPr>
        <w:t xml:space="preserve"> political behaviour. Using</w:t>
      </w:r>
      <w:r w:rsidR="00D16DE8" w:rsidRPr="005C6D34">
        <w:rPr>
          <w:rFonts w:cstheme="minorHAnsi"/>
          <w:sz w:val="24"/>
          <w:szCs w:val="24"/>
        </w:rPr>
        <w:t xml:space="preserve"> </w:t>
      </w:r>
      <w:r w:rsidR="00546196" w:rsidRPr="005C6D34">
        <w:rPr>
          <w:rFonts w:cstheme="minorHAnsi"/>
          <w:sz w:val="24"/>
          <w:szCs w:val="24"/>
        </w:rPr>
        <w:t xml:space="preserve">factors </w:t>
      </w:r>
      <w:r w:rsidR="00100D39" w:rsidRPr="005C6D34">
        <w:rPr>
          <w:rFonts w:cstheme="minorHAnsi"/>
          <w:sz w:val="24"/>
          <w:szCs w:val="24"/>
        </w:rPr>
        <w:t>such as</w:t>
      </w:r>
      <w:r w:rsidRPr="005C6D34">
        <w:rPr>
          <w:rFonts w:cstheme="minorHAnsi"/>
          <w:sz w:val="24"/>
          <w:szCs w:val="24"/>
        </w:rPr>
        <w:t xml:space="preserve"> voter polarisation, shifts in public opinion</w:t>
      </w:r>
      <w:r w:rsidR="00100D39" w:rsidRPr="005C6D34">
        <w:rPr>
          <w:rFonts w:cstheme="minorHAnsi"/>
          <w:sz w:val="24"/>
          <w:szCs w:val="24"/>
        </w:rPr>
        <w:t xml:space="preserve"> </w:t>
      </w:r>
      <w:r w:rsidR="00021A7C" w:rsidRPr="005C6D34">
        <w:rPr>
          <w:rFonts w:cstheme="minorHAnsi"/>
          <w:sz w:val="24"/>
          <w:szCs w:val="24"/>
        </w:rPr>
        <w:t>and</w:t>
      </w:r>
      <w:r w:rsidRPr="005C6D34">
        <w:rPr>
          <w:rFonts w:cstheme="minorHAnsi"/>
          <w:sz w:val="24"/>
          <w:szCs w:val="24"/>
        </w:rPr>
        <w:t xml:space="preserve"> </w:t>
      </w:r>
      <w:r w:rsidRPr="005C6D34">
        <w:rPr>
          <w:rFonts w:cstheme="minorHAnsi"/>
          <w:sz w:val="24"/>
          <w:szCs w:val="24"/>
        </w:rPr>
        <w:lastRenderedPageBreak/>
        <w:t>economic development, they noted variations between the effects in different territories (</w:t>
      </w:r>
      <w:r w:rsidR="00100D39" w:rsidRPr="005C6D34">
        <w:rPr>
          <w:rFonts w:cstheme="minorHAnsi"/>
          <w:sz w:val="24"/>
          <w:szCs w:val="24"/>
        </w:rPr>
        <w:t>e</w:t>
      </w:r>
      <w:r w:rsidRPr="005C6D34">
        <w:rPr>
          <w:rFonts w:cstheme="minorHAnsi"/>
          <w:sz w:val="24"/>
          <w:szCs w:val="24"/>
        </w:rPr>
        <w:t xml:space="preserve">ast </w:t>
      </w:r>
      <w:r w:rsidR="00021A7C" w:rsidRPr="005C6D34">
        <w:rPr>
          <w:rFonts w:cstheme="minorHAnsi"/>
          <w:sz w:val="24"/>
          <w:szCs w:val="24"/>
        </w:rPr>
        <w:t>and</w:t>
      </w:r>
      <w:r w:rsidRPr="005C6D34">
        <w:rPr>
          <w:rFonts w:cstheme="minorHAnsi"/>
          <w:sz w:val="24"/>
          <w:szCs w:val="24"/>
        </w:rPr>
        <w:t xml:space="preserve"> </w:t>
      </w:r>
      <w:r w:rsidR="00100D39" w:rsidRPr="005C6D34">
        <w:rPr>
          <w:rFonts w:cstheme="minorHAnsi"/>
          <w:sz w:val="24"/>
          <w:szCs w:val="24"/>
        </w:rPr>
        <w:t>w</w:t>
      </w:r>
      <w:r w:rsidRPr="005C6D34">
        <w:rPr>
          <w:rFonts w:cstheme="minorHAnsi"/>
          <w:sz w:val="24"/>
          <w:szCs w:val="24"/>
        </w:rPr>
        <w:t xml:space="preserve">est) </w:t>
      </w:r>
      <w:r w:rsidR="00021A7C" w:rsidRPr="005C6D34">
        <w:rPr>
          <w:rFonts w:cstheme="minorHAnsi"/>
          <w:sz w:val="24"/>
          <w:szCs w:val="24"/>
        </w:rPr>
        <w:t>and</w:t>
      </w:r>
      <w:r w:rsidRPr="005C6D34">
        <w:rPr>
          <w:rFonts w:cstheme="minorHAnsi"/>
          <w:sz w:val="24"/>
          <w:szCs w:val="24"/>
        </w:rPr>
        <w:t xml:space="preserve"> </w:t>
      </w:r>
      <w:r w:rsidR="00100D39" w:rsidRPr="005C6D34">
        <w:rPr>
          <w:rFonts w:cstheme="minorHAnsi"/>
          <w:sz w:val="24"/>
          <w:szCs w:val="24"/>
        </w:rPr>
        <w:t xml:space="preserve">in relation to </w:t>
      </w:r>
      <w:r w:rsidRPr="005C6D34">
        <w:rPr>
          <w:rFonts w:cstheme="minorHAnsi"/>
          <w:sz w:val="24"/>
          <w:szCs w:val="24"/>
        </w:rPr>
        <w:t>urban</w:t>
      </w:r>
      <w:r w:rsidR="00D416C7" w:rsidRPr="005C6D34">
        <w:rPr>
          <w:rFonts w:cstheme="minorHAnsi"/>
          <w:sz w:val="24"/>
          <w:szCs w:val="24"/>
        </w:rPr>
        <w:t>-</w:t>
      </w:r>
      <w:r w:rsidRPr="005C6D34">
        <w:rPr>
          <w:rFonts w:cstheme="minorHAnsi"/>
          <w:sz w:val="24"/>
          <w:szCs w:val="24"/>
        </w:rPr>
        <w:t xml:space="preserve">rural characteristics in the country. </w:t>
      </w:r>
      <w:r w:rsidR="7A0D304D" w:rsidRPr="005C6D34">
        <w:rPr>
          <w:rFonts w:eastAsia="Georgia" w:cstheme="minorHAnsi"/>
          <w:sz w:val="24"/>
          <w:szCs w:val="24"/>
        </w:rPr>
        <w:t xml:space="preserve">Spoon </w:t>
      </w:r>
      <w:r w:rsidR="00021A7C" w:rsidRPr="005C6D34">
        <w:rPr>
          <w:rFonts w:eastAsia="Georgia" w:cstheme="minorHAnsi"/>
          <w:sz w:val="24"/>
          <w:szCs w:val="24"/>
        </w:rPr>
        <w:t>&amp;</w:t>
      </w:r>
      <w:r w:rsidR="7A0D304D" w:rsidRPr="005C6D34">
        <w:rPr>
          <w:rFonts w:eastAsia="Georgia" w:cstheme="minorHAnsi"/>
          <w:sz w:val="24"/>
          <w:szCs w:val="24"/>
        </w:rPr>
        <w:t xml:space="preserve"> </w:t>
      </w:r>
      <w:proofErr w:type="spellStart"/>
      <w:r w:rsidR="7A0D304D" w:rsidRPr="005C6D34">
        <w:rPr>
          <w:rFonts w:eastAsia="Georgia" w:cstheme="minorHAnsi"/>
          <w:sz w:val="24"/>
          <w:szCs w:val="24"/>
        </w:rPr>
        <w:t>Klüver</w:t>
      </w:r>
      <w:proofErr w:type="spellEnd"/>
      <w:r w:rsidR="7A0D304D" w:rsidRPr="005C6D34">
        <w:rPr>
          <w:rFonts w:eastAsia="Georgia" w:cstheme="minorHAnsi"/>
          <w:sz w:val="24"/>
          <w:szCs w:val="24"/>
        </w:rPr>
        <w:t xml:space="preserve"> (2015) observed that party support, polari</w:t>
      </w:r>
      <w:r w:rsidR="00214F03" w:rsidRPr="005C6D34">
        <w:rPr>
          <w:rFonts w:eastAsia="Georgia" w:cstheme="minorHAnsi"/>
          <w:sz w:val="24"/>
          <w:szCs w:val="24"/>
        </w:rPr>
        <w:t>s</w:t>
      </w:r>
      <w:r w:rsidR="7A0D304D" w:rsidRPr="005C6D34">
        <w:rPr>
          <w:rFonts w:eastAsia="Georgia" w:cstheme="minorHAnsi"/>
          <w:sz w:val="24"/>
          <w:szCs w:val="24"/>
        </w:rPr>
        <w:t xml:space="preserve">ation </w:t>
      </w:r>
      <w:r w:rsidR="00021A7C" w:rsidRPr="005C6D34">
        <w:rPr>
          <w:rFonts w:eastAsia="Georgia" w:cstheme="minorHAnsi"/>
          <w:sz w:val="24"/>
          <w:szCs w:val="24"/>
        </w:rPr>
        <w:t>and</w:t>
      </w:r>
      <w:r w:rsidR="7A0D304D" w:rsidRPr="005C6D34">
        <w:rPr>
          <w:rFonts w:eastAsia="Georgia" w:cstheme="minorHAnsi"/>
          <w:sz w:val="24"/>
          <w:szCs w:val="24"/>
        </w:rPr>
        <w:t xml:space="preserve"> critical policy issues shape</w:t>
      </w:r>
      <w:r w:rsidR="000962A3" w:rsidRPr="005C6D34">
        <w:rPr>
          <w:rFonts w:eastAsia="Georgia" w:cstheme="minorHAnsi"/>
          <w:sz w:val="24"/>
          <w:szCs w:val="24"/>
        </w:rPr>
        <w:t>d</w:t>
      </w:r>
      <w:r w:rsidR="7A0D304D" w:rsidRPr="005C6D34">
        <w:rPr>
          <w:rFonts w:eastAsia="Georgia" w:cstheme="minorHAnsi"/>
          <w:sz w:val="24"/>
          <w:szCs w:val="24"/>
        </w:rPr>
        <w:t xml:space="preserve"> voter </w:t>
      </w:r>
      <w:r w:rsidR="00546196" w:rsidRPr="005C6D34">
        <w:rPr>
          <w:rFonts w:eastAsia="Georgia" w:cstheme="minorHAnsi"/>
          <w:sz w:val="24"/>
          <w:szCs w:val="24"/>
        </w:rPr>
        <w:t>behaviour</w:t>
      </w:r>
      <w:r w:rsidR="7A0D304D" w:rsidRPr="005C6D34">
        <w:rPr>
          <w:rFonts w:eastAsia="Georgia" w:cstheme="minorHAnsi"/>
          <w:sz w:val="24"/>
          <w:szCs w:val="24"/>
        </w:rPr>
        <w:t xml:space="preserve"> in Western European states. </w:t>
      </w:r>
      <w:r w:rsidR="000962A3" w:rsidRPr="005C6D34">
        <w:rPr>
          <w:rFonts w:eastAsia="Georgia" w:cstheme="minorHAnsi"/>
          <w:sz w:val="24"/>
          <w:szCs w:val="24"/>
        </w:rPr>
        <w:t>They noted that</w:t>
      </w:r>
      <w:r w:rsidR="7A0D304D" w:rsidRPr="005C6D34">
        <w:rPr>
          <w:rFonts w:eastAsia="Georgia" w:cstheme="minorHAnsi"/>
          <w:sz w:val="24"/>
          <w:szCs w:val="24"/>
        </w:rPr>
        <w:t xml:space="preserve"> </w:t>
      </w:r>
      <w:r w:rsidR="000962A3" w:rsidRPr="005C6D34">
        <w:rPr>
          <w:rFonts w:eastAsia="Georgia" w:cstheme="minorHAnsi"/>
          <w:sz w:val="24"/>
          <w:szCs w:val="24"/>
        </w:rPr>
        <w:t>‘</w:t>
      </w:r>
      <w:r w:rsidR="7A0D304D" w:rsidRPr="005C6D34">
        <w:rPr>
          <w:rFonts w:eastAsia="Georgia" w:cstheme="minorHAnsi"/>
          <w:sz w:val="24"/>
          <w:szCs w:val="24"/>
        </w:rPr>
        <w:t xml:space="preserve">issue responsiveness of political parties indeed increases with the polarisation of the immigration </w:t>
      </w:r>
      <w:r w:rsidR="00021A7C" w:rsidRPr="005C6D34">
        <w:rPr>
          <w:rFonts w:eastAsia="Georgia" w:cstheme="minorHAnsi"/>
          <w:sz w:val="24"/>
          <w:szCs w:val="24"/>
        </w:rPr>
        <w:t>and</w:t>
      </w:r>
      <w:r w:rsidR="7A0D304D" w:rsidRPr="005C6D34">
        <w:rPr>
          <w:rFonts w:eastAsia="Georgia" w:cstheme="minorHAnsi"/>
          <w:sz w:val="24"/>
          <w:szCs w:val="24"/>
        </w:rPr>
        <w:t xml:space="preserve"> European integration issues among voters</w:t>
      </w:r>
      <w:r w:rsidR="000962A3" w:rsidRPr="005C6D34">
        <w:rPr>
          <w:rFonts w:eastAsia="Georgia" w:cstheme="minorHAnsi"/>
          <w:sz w:val="24"/>
          <w:szCs w:val="24"/>
        </w:rPr>
        <w:t>’</w:t>
      </w:r>
      <w:r w:rsidR="006237C5" w:rsidRPr="005C6D34">
        <w:rPr>
          <w:rFonts w:eastAsia="Georgia" w:cstheme="minorHAnsi"/>
          <w:sz w:val="24"/>
          <w:szCs w:val="24"/>
        </w:rPr>
        <w:t xml:space="preserve"> (ibid, 354)</w:t>
      </w:r>
      <w:r w:rsidR="7A0D304D" w:rsidRPr="005C6D34">
        <w:rPr>
          <w:rFonts w:eastAsia="Georgia" w:cstheme="minorHAnsi"/>
          <w:sz w:val="24"/>
          <w:szCs w:val="24"/>
        </w:rPr>
        <w:t>.</w:t>
      </w:r>
    </w:p>
    <w:p w14:paraId="2724ED85" w14:textId="0C02CED0" w:rsidR="00D96A75" w:rsidRPr="005C6D34" w:rsidRDefault="000602FD" w:rsidP="000A687F">
      <w:pPr>
        <w:spacing w:line="360" w:lineRule="auto"/>
        <w:jc w:val="both"/>
        <w:rPr>
          <w:rFonts w:cstheme="minorHAnsi"/>
          <w:sz w:val="24"/>
          <w:szCs w:val="24"/>
        </w:rPr>
      </w:pPr>
      <w:r w:rsidRPr="005C6D34">
        <w:rPr>
          <w:rFonts w:cstheme="minorHAnsi"/>
          <w:sz w:val="24"/>
          <w:szCs w:val="24"/>
        </w:rPr>
        <w:t>Lewis</w:t>
      </w:r>
      <w:r w:rsidR="00021A7C" w:rsidRPr="005C6D34">
        <w:rPr>
          <w:rFonts w:cstheme="minorHAnsi"/>
          <w:sz w:val="24"/>
          <w:szCs w:val="24"/>
        </w:rPr>
        <w:t>-</w:t>
      </w:r>
      <w:r w:rsidRPr="005C6D34">
        <w:rPr>
          <w:rFonts w:cstheme="minorHAnsi"/>
          <w:sz w:val="24"/>
          <w:szCs w:val="24"/>
        </w:rPr>
        <w:t xml:space="preserve">Beck </w:t>
      </w:r>
      <w:r w:rsidR="00021A7C" w:rsidRPr="005C6D34">
        <w:rPr>
          <w:rFonts w:cstheme="minorHAnsi"/>
          <w:sz w:val="24"/>
          <w:szCs w:val="24"/>
        </w:rPr>
        <w:t>&amp;</w:t>
      </w:r>
      <w:r w:rsidRPr="005C6D34">
        <w:rPr>
          <w:rFonts w:cstheme="minorHAnsi"/>
          <w:sz w:val="24"/>
          <w:szCs w:val="24"/>
        </w:rPr>
        <w:t xml:space="preserve"> Martini (2020) </w:t>
      </w:r>
      <w:r w:rsidR="00D96A75" w:rsidRPr="005C6D34">
        <w:rPr>
          <w:rFonts w:cstheme="minorHAnsi"/>
          <w:sz w:val="24"/>
          <w:szCs w:val="24"/>
        </w:rPr>
        <w:t>noted</w:t>
      </w:r>
      <w:r w:rsidRPr="005C6D34">
        <w:rPr>
          <w:rFonts w:cstheme="minorHAnsi"/>
          <w:sz w:val="24"/>
          <w:szCs w:val="24"/>
        </w:rPr>
        <w:t xml:space="preserve"> that</w:t>
      </w:r>
      <w:r w:rsidR="00D96A75" w:rsidRPr="005C6D34">
        <w:rPr>
          <w:rFonts w:cstheme="minorHAnsi"/>
          <w:sz w:val="24"/>
          <w:szCs w:val="24"/>
        </w:rPr>
        <w:t xml:space="preserve"> potential voters</w:t>
      </w:r>
      <w:r w:rsidR="00A03141" w:rsidRPr="005C6D34">
        <w:rPr>
          <w:rFonts w:cstheme="minorHAnsi"/>
          <w:sz w:val="24"/>
          <w:szCs w:val="24"/>
        </w:rPr>
        <w:t>’</w:t>
      </w:r>
      <w:r w:rsidR="00D96A75" w:rsidRPr="005C6D34">
        <w:rPr>
          <w:rFonts w:cstheme="minorHAnsi"/>
          <w:sz w:val="24"/>
          <w:szCs w:val="24"/>
        </w:rPr>
        <w:t xml:space="preserve"> perceptions of macroeconomic performance could shape their decisions on incumbent re</w:t>
      </w:r>
      <w:r w:rsidR="00021A7C" w:rsidRPr="005C6D34">
        <w:rPr>
          <w:rFonts w:cstheme="minorHAnsi"/>
          <w:sz w:val="24"/>
          <w:szCs w:val="24"/>
        </w:rPr>
        <w:t>-</w:t>
      </w:r>
      <w:r w:rsidR="00D96A75" w:rsidRPr="005C6D34">
        <w:rPr>
          <w:rFonts w:cstheme="minorHAnsi"/>
          <w:sz w:val="24"/>
          <w:szCs w:val="24"/>
        </w:rPr>
        <w:t xml:space="preserve">election. </w:t>
      </w:r>
      <w:r w:rsidR="000962A3" w:rsidRPr="005C6D34">
        <w:rPr>
          <w:rFonts w:cstheme="minorHAnsi"/>
          <w:sz w:val="24"/>
          <w:szCs w:val="24"/>
        </w:rPr>
        <w:t>They</w:t>
      </w:r>
      <w:r w:rsidR="00D96A75" w:rsidRPr="005C6D34">
        <w:rPr>
          <w:rFonts w:cstheme="minorHAnsi"/>
          <w:sz w:val="24"/>
          <w:szCs w:val="24"/>
        </w:rPr>
        <w:t xml:space="preserve"> noted that while voter partisanship tend</w:t>
      </w:r>
      <w:r w:rsidR="000962A3" w:rsidRPr="005C6D34">
        <w:rPr>
          <w:rFonts w:cstheme="minorHAnsi"/>
          <w:sz w:val="24"/>
          <w:szCs w:val="24"/>
        </w:rPr>
        <w:t>ed</w:t>
      </w:r>
      <w:r w:rsidR="00D96A75" w:rsidRPr="005C6D34">
        <w:rPr>
          <w:rFonts w:cstheme="minorHAnsi"/>
          <w:sz w:val="24"/>
          <w:szCs w:val="24"/>
        </w:rPr>
        <w:t xml:space="preserve"> to disrupt the link between </w:t>
      </w:r>
      <w:r w:rsidR="000E2544" w:rsidRPr="005C6D34">
        <w:rPr>
          <w:rFonts w:cstheme="minorHAnsi"/>
          <w:sz w:val="24"/>
          <w:szCs w:val="24"/>
        </w:rPr>
        <w:t>socio</w:t>
      </w:r>
      <w:r w:rsidR="00021A7C" w:rsidRPr="005C6D34">
        <w:rPr>
          <w:rFonts w:cstheme="minorHAnsi"/>
          <w:sz w:val="24"/>
          <w:szCs w:val="24"/>
        </w:rPr>
        <w:t>-</w:t>
      </w:r>
      <w:r w:rsidR="000E2544" w:rsidRPr="005C6D34">
        <w:rPr>
          <w:rFonts w:cstheme="minorHAnsi"/>
          <w:sz w:val="24"/>
          <w:szCs w:val="24"/>
        </w:rPr>
        <w:t xml:space="preserve">economic factors </w:t>
      </w:r>
      <w:r w:rsidR="00021A7C" w:rsidRPr="005C6D34">
        <w:rPr>
          <w:rFonts w:cstheme="minorHAnsi"/>
          <w:sz w:val="24"/>
          <w:szCs w:val="24"/>
        </w:rPr>
        <w:t>and</w:t>
      </w:r>
      <w:r w:rsidR="00D96A75" w:rsidRPr="005C6D34">
        <w:rPr>
          <w:rFonts w:cstheme="minorHAnsi"/>
          <w:sz w:val="24"/>
          <w:szCs w:val="24"/>
        </w:rPr>
        <w:t xml:space="preserve"> voter behaviour</w:t>
      </w:r>
      <w:r w:rsidR="000962A3" w:rsidRPr="005C6D34">
        <w:rPr>
          <w:rFonts w:cstheme="minorHAnsi"/>
          <w:sz w:val="24"/>
          <w:szCs w:val="24"/>
        </w:rPr>
        <w:t xml:space="preserve">, </w:t>
      </w:r>
      <w:r w:rsidR="00D96A75" w:rsidRPr="005C6D34">
        <w:rPr>
          <w:rFonts w:cstheme="minorHAnsi"/>
          <w:sz w:val="24"/>
          <w:szCs w:val="24"/>
        </w:rPr>
        <w:t xml:space="preserve"> it </w:t>
      </w:r>
      <w:r w:rsidR="000962A3" w:rsidRPr="005C6D34">
        <w:rPr>
          <w:rFonts w:cstheme="minorHAnsi"/>
          <w:sz w:val="24"/>
          <w:szCs w:val="24"/>
        </w:rPr>
        <w:t xml:space="preserve">did </w:t>
      </w:r>
      <w:r w:rsidR="00D96A75" w:rsidRPr="005C6D34">
        <w:rPr>
          <w:rFonts w:cstheme="minorHAnsi"/>
          <w:sz w:val="24"/>
          <w:szCs w:val="24"/>
        </w:rPr>
        <w:t xml:space="preserve">not </w:t>
      </w:r>
      <w:r w:rsidR="000962A3" w:rsidRPr="005C6D34">
        <w:rPr>
          <w:rFonts w:cstheme="minorHAnsi"/>
          <w:sz w:val="24"/>
          <w:szCs w:val="24"/>
        </w:rPr>
        <w:t>‘</w:t>
      </w:r>
      <w:r w:rsidR="00D96A75" w:rsidRPr="005C6D34">
        <w:rPr>
          <w:rFonts w:cstheme="minorHAnsi"/>
          <w:sz w:val="24"/>
          <w:szCs w:val="24"/>
        </w:rPr>
        <w:t>completely corrupt it</w:t>
      </w:r>
      <w:r w:rsidR="000962A3" w:rsidRPr="005C6D34">
        <w:rPr>
          <w:rFonts w:cstheme="minorHAnsi"/>
          <w:sz w:val="24"/>
          <w:szCs w:val="24"/>
        </w:rPr>
        <w:t xml:space="preserve">’ </w:t>
      </w:r>
      <w:r w:rsidR="00D96A75" w:rsidRPr="005C6D34">
        <w:rPr>
          <w:rFonts w:cstheme="minorHAnsi"/>
          <w:sz w:val="24"/>
          <w:szCs w:val="24"/>
        </w:rPr>
        <w:t xml:space="preserve">(ibid: 5). This </w:t>
      </w:r>
      <w:r w:rsidR="000962A3" w:rsidRPr="005C6D34">
        <w:rPr>
          <w:rFonts w:cstheme="minorHAnsi"/>
          <w:sz w:val="24"/>
          <w:szCs w:val="24"/>
        </w:rPr>
        <w:t>supports</w:t>
      </w:r>
      <w:r w:rsidR="00D96A75" w:rsidRPr="005C6D34">
        <w:rPr>
          <w:rFonts w:cstheme="minorHAnsi"/>
          <w:sz w:val="24"/>
          <w:szCs w:val="24"/>
        </w:rPr>
        <w:t xml:space="preserve"> </w:t>
      </w:r>
      <w:r w:rsidRPr="005C6D34">
        <w:rPr>
          <w:rFonts w:cstheme="minorHAnsi"/>
          <w:sz w:val="24"/>
          <w:szCs w:val="24"/>
        </w:rPr>
        <w:t xml:space="preserve">Burden </w:t>
      </w:r>
      <w:r w:rsidR="00021A7C" w:rsidRPr="005C6D34">
        <w:rPr>
          <w:rFonts w:cstheme="minorHAnsi"/>
          <w:sz w:val="24"/>
          <w:szCs w:val="24"/>
        </w:rPr>
        <w:t>&amp;</w:t>
      </w:r>
      <w:r w:rsidRPr="005C6D34">
        <w:rPr>
          <w:rFonts w:cstheme="minorHAnsi"/>
          <w:sz w:val="24"/>
          <w:szCs w:val="24"/>
        </w:rPr>
        <w:t xml:space="preserve"> </w:t>
      </w:r>
      <w:proofErr w:type="spellStart"/>
      <w:r w:rsidRPr="005C6D34">
        <w:rPr>
          <w:rFonts w:cstheme="minorHAnsi"/>
          <w:sz w:val="24"/>
          <w:szCs w:val="24"/>
        </w:rPr>
        <w:t>Wichowsky</w:t>
      </w:r>
      <w:r w:rsidR="000962A3" w:rsidRPr="005C6D34">
        <w:rPr>
          <w:rFonts w:cstheme="minorHAnsi"/>
          <w:sz w:val="24"/>
          <w:szCs w:val="24"/>
        </w:rPr>
        <w:t>’s</w:t>
      </w:r>
      <w:proofErr w:type="spellEnd"/>
      <w:r w:rsidRPr="005C6D34">
        <w:rPr>
          <w:rFonts w:cstheme="minorHAnsi"/>
          <w:sz w:val="24"/>
          <w:szCs w:val="24"/>
        </w:rPr>
        <w:t xml:space="preserve"> (2014:</w:t>
      </w:r>
      <w:r w:rsidR="000962A3" w:rsidRPr="005C6D34">
        <w:rPr>
          <w:rFonts w:cstheme="minorHAnsi"/>
          <w:sz w:val="24"/>
          <w:szCs w:val="24"/>
        </w:rPr>
        <w:t xml:space="preserve"> </w:t>
      </w:r>
      <w:r w:rsidRPr="005C6D34">
        <w:rPr>
          <w:rFonts w:cstheme="minorHAnsi"/>
          <w:sz w:val="24"/>
          <w:szCs w:val="24"/>
        </w:rPr>
        <w:t>897)</w:t>
      </w:r>
      <w:r w:rsidR="00D96A75" w:rsidRPr="005C6D34">
        <w:rPr>
          <w:rFonts w:cstheme="minorHAnsi"/>
          <w:sz w:val="24"/>
          <w:szCs w:val="24"/>
        </w:rPr>
        <w:t xml:space="preserve"> study, where they contended that </w:t>
      </w:r>
      <w:r w:rsidR="000962A3" w:rsidRPr="005C6D34">
        <w:rPr>
          <w:rFonts w:cstheme="minorHAnsi"/>
          <w:sz w:val="24"/>
          <w:szCs w:val="24"/>
        </w:rPr>
        <w:t>‘</w:t>
      </w:r>
      <w:r w:rsidR="00D96A75" w:rsidRPr="005C6D34">
        <w:rPr>
          <w:rFonts w:cstheme="minorHAnsi"/>
          <w:sz w:val="24"/>
          <w:szCs w:val="24"/>
        </w:rPr>
        <w:t>unemployment, bring</w:t>
      </w:r>
      <w:r w:rsidR="00021A7C" w:rsidRPr="005C6D34">
        <w:rPr>
          <w:rFonts w:cstheme="minorHAnsi"/>
          <w:sz w:val="24"/>
          <w:szCs w:val="24"/>
        </w:rPr>
        <w:t>s</w:t>
      </w:r>
      <w:r w:rsidR="00D96A75" w:rsidRPr="005C6D34">
        <w:rPr>
          <w:rFonts w:cstheme="minorHAnsi"/>
          <w:sz w:val="24"/>
          <w:szCs w:val="24"/>
        </w:rPr>
        <w:t xml:space="preserve"> out more voters</w:t>
      </w:r>
      <w:r w:rsidR="000962A3" w:rsidRPr="005C6D34">
        <w:rPr>
          <w:rFonts w:cstheme="minorHAnsi"/>
          <w:sz w:val="24"/>
          <w:szCs w:val="24"/>
        </w:rPr>
        <w:t>’</w:t>
      </w:r>
      <w:r w:rsidR="00D96A75" w:rsidRPr="005C6D34">
        <w:rPr>
          <w:rFonts w:cstheme="minorHAnsi"/>
          <w:sz w:val="24"/>
          <w:szCs w:val="24"/>
        </w:rPr>
        <w:t xml:space="preserve"> since the potential voter is </w:t>
      </w:r>
      <w:r w:rsidR="000962A3" w:rsidRPr="005C6D34">
        <w:rPr>
          <w:rFonts w:cstheme="minorHAnsi"/>
          <w:sz w:val="24"/>
          <w:szCs w:val="24"/>
        </w:rPr>
        <w:t>‘</w:t>
      </w:r>
      <w:r w:rsidR="00D96A75" w:rsidRPr="005C6D34">
        <w:rPr>
          <w:rFonts w:cstheme="minorHAnsi"/>
          <w:sz w:val="24"/>
          <w:szCs w:val="24"/>
        </w:rPr>
        <w:t>more likely...to select c</w:t>
      </w:r>
      <w:r w:rsidR="00021A7C" w:rsidRPr="005C6D34">
        <w:rPr>
          <w:rFonts w:cstheme="minorHAnsi"/>
          <w:sz w:val="24"/>
          <w:szCs w:val="24"/>
        </w:rPr>
        <w:t>and</w:t>
      </w:r>
      <w:r w:rsidR="00D96A75" w:rsidRPr="005C6D34">
        <w:rPr>
          <w:rFonts w:cstheme="minorHAnsi"/>
          <w:sz w:val="24"/>
          <w:szCs w:val="24"/>
        </w:rPr>
        <w:t>idates based on economic performance</w:t>
      </w:r>
      <w:r w:rsidR="000962A3" w:rsidRPr="005C6D34">
        <w:rPr>
          <w:rFonts w:cstheme="minorHAnsi"/>
          <w:sz w:val="24"/>
          <w:szCs w:val="24"/>
        </w:rPr>
        <w:t>’</w:t>
      </w:r>
      <w:r w:rsidR="00D96A75" w:rsidRPr="005C6D34">
        <w:rPr>
          <w:rFonts w:cstheme="minorHAnsi"/>
          <w:sz w:val="24"/>
          <w:szCs w:val="24"/>
        </w:rPr>
        <w:t xml:space="preserve"> rather than their current state. </w:t>
      </w:r>
    </w:p>
    <w:p w14:paraId="743795EE" w14:textId="55BA43F2" w:rsidR="00D96A75" w:rsidRPr="005C6D34" w:rsidRDefault="38946B00" w:rsidP="000A687F">
      <w:pPr>
        <w:spacing w:line="360" w:lineRule="auto"/>
        <w:jc w:val="both"/>
        <w:rPr>
          <w:rFonts w:cstheme="minorHAnsi"/>
          <w:sz w:val="24"/>
          <w:szCs w:val="24"/>
        </w:rPr>
      </w:pPr>
      <w:proofErr w:type="spellStart"/>
      <w:r w:rsidRPr="005C6D34">
        <w:rPr>
          <w:rFonts w:cstheme="minorHAnsi"/>
          <w:sz w:val="24"/>
          <w:szCs w:val="24"/>
        </w:rPr>
        <w:t>Lynge</w:t>
      </w:r>
      <w:proofErr w:type="spellEnd"/>
      <w:r w:rsidRPr="005C6D34">
        <w:rPr>
          <w:rFonts w:cstheme="minorHAnsi"/>
          <w:sz w:val="24"/>
          <w:szCs w:val="24"/>
        </w:rPr>
        <w:t xml:space="preserve"> &amp; Martínez i Coma (2022) examined the relationship between economic downturns </w:t>
      </w:r>
      <w:r w:rsidR="00021A7C" w:rsidRPr="005C6D34">
        <w:rPr>
          <w:rFonts w:cstheme="minorHAnsi"/>
          <w:sz w:val="24"/>
          <w:szCs w:val="24"/>
        </w:rPr>
        <w:t>and</w:t>
      </w:r>
      <w:r w:rsidRPr="005C6D34">
        <w:rPr>
          <w:rFonts w:cstheme="minorHAnsi"/>
          <w:sz w:val="24"/>
          <w:szCs w:val="24"/>
        </w:rPr>
        <w:t xml:space="preserve"> voter turnout in 40 African states between 1960 </w:t>
      </w:r>
      <w:r w:rsidR="00021A7C" w:rsidRPr="005C6D34">
        <w:rPr>
          <w:rFonts w:cstheme="minorHAnsi"/>
          <w:sz w:val="24"/>
          <w:szCs w:val="24"/>
        </w:rPr>
        <w:t>and</w:t>
      </w:r>
      <w:r w:rsidRPr="005C6D34">
        <w:rPr>
          <w:rFonts w:cstheme="minorHAnsi"/>
          <w:sz w:val="24"/>
          <w:szCs w:val="24"/>
        </w:rPr>
        <w:t xml:space="preserve"> 2016. The</w:t>
      </w:r>
      <w:r w:rsidR="00021A7C" w:rsidRPr="005C6D34">
        <w:rPr>
          <w:rFonts w:cstheme="minorHAnsi"/>
          <w:sz w:val="24"/>
          <w:szCs w:val="24"/>
        </w:rPr>
        <w:t>ir</w:t>
      </w:r>
      <w:r w:rsidRPr="005C6D34">
        <w:rPr>
          <w:rFonts w:cstheme="minorHAnsi"/>
          <w:sz w:val="24"/>
          <w:szCs w:val="24"/>
        </w:rPr>
        <w:t xml:space="preserve"> study analysed 317 presidential elections in Africa using macroeconomic indices </w:t>
      </w:r>
      <w:r w:rsidR="000962A3" w:rsidRPr="005C6D34">
        <w:rPr>
          <w:rFonts w:cstheme="minorHAnsi"/>
          <w:sz w:val="24"/>
          <w:szCs w:val="24"/>
        </w:rPr>
        <w:t>such as</w:t>
      </w:r>
      <w:r w:rsidRPr="005C6D34">
        <w:rPr>
          <w:rFonts w:cstheme="minorHAnsi"/>
          <w:sz w:val="24"/>
          <w:szCs w:val="24"/>
        </w:rPr>
        <w:t xml:space="preserve"> economic growth on voter turnout. The study observed that GDP per capita directly</w:t>
      </w:r>
      <w:r w:rsidR="000962A3" w:rsidRPr="005C6D34">
        <w:rPr>
          <w:rFonts w:cstheme="minorHAnsi"/>
          <w:sz w:val="24"/>
          <w:szCs w:val="24"/>
        </w:rPr>
        <w:t xml:space="preserve"> contradicted</w:t>
      </w:r>
      <w:r w:rsidRPr="005C6D34">
        <w:rPr>
          <w:rFonts w:cstheme="minorHAnsi"/>
          <w:sz w:val="24"/>
          <w:szCs w:val="24"/>
        </w:rPr>
        <w:t xml:space="preserve"> African voter turnout.</w:t>
      </w:r>
      <w:r w:rsidR="000962A3" w:rsidRPr="005C6D34">
        <w:rPr>
          <w:rFonts w:cstheme="minorHAnsi"/>
          <w:sz w:val="24"/>
          <w:szCs w:val="24"/>
        </w:rPr>
        <w:t xml:space="preserve"> In</w:t>
      </w:r>
      <w:r w:rsidRPr="005C6D34">
        <w:rPr>
          <w:rFonts w:cstheme="minorHAnsi"/>
          <w:sz w:val="24"/>
          <w:szCs w:val="24"/>
        </w:rPr>
        <w:t xml:space="preserve"> periods of economic boom, </w:t>
      </w:r>
      <w:r w:rsidR="000962A3" w:rsidRPr="005C6D34">
        <w:rPr>
          <w:rFonts w:cstheme="minorHAnsi"/>
          <w:sz w:val="24"/>
          <w:szCs w:val="24"/>
        </w:rPr>
        <w:t>‘</w:t>
      </w:r>
      <w:r w:rsidRPr="005C6D34">
        <w:rPr>
          <w:rFonts w:cstheme="minorHAnsi"/>
          <w:sz w:val="24"/>
          <w:szCs w:val="24"/>
        </w:rPr>
        <w:t>African voters are more likely to go to the polls. When it busts, they are more likely to stay at home</w:t>
      </w:r>
      <w:r w:rsidR="000962A3" w:rsidRPr="005C6D34">
        <w:rPr>
          <w:rFonts w:cstheme="minorHAnsi"/>
          <w:sz w:val="24"/>
          <w:szCs w:val="24"/>
        </w:rPr>
        <w:t>’</w:t>
      </w:r>
      <w:r w:rsidR="006237C5" w:rsidRPr="005C6D34">
        <w:rPr>
          <w:rFonts w:cstheme="minorHAnsi"/>
          <w:sz w:val="24"/>
          <w:szCs w:val="24"/>
        </w:rPr>
        <w:t xml:space="preserve"> (ibid, p.6)</w:t>
      </w:r>
      <w:r w:rsidR="008442A5" w:rsidRPr="005C6D34">
        <w:rPr>
          <w:rFonts w:cstheme="minorHAnsi"/>
          <w:sz w:val="24"/>
          <w:szCs w:val="24"/>
        </w:rPr>
        <w:t xml:space="preserve">. </w:t>
      </w:r>
      <w:r w:rsidRPr="005C6D34">
        <w:rPr>
          <w:rFonts w:cstheme="minorHAnsi"/>
          <w:sz w:val="24"/>
          <w:szCs w:val="24"/>
        </w:rPr>
        <w:t>Their conclusion</w:t>
      </w:r>
      <w:r w:rsidR="00021A7C" w:rsidRPr="005C6D34">
        <w:rPr>
          <w:rFonts w:cstheme="minorHAnsi"/>
          <w:sz w:val="24"/>
          <w:szCs w:val="24"/>
        </w:rPr>
        <w:t>s</w:t>
      </w:r>
      <w:r w:rsidRPr="005C6D34">
        <w:rPr>
          <w:rFonts w:cstheme="minorHAnsi"/>
          <w:sz w:val="24"/>
          <w:szCs w:val="24"/>
        </w:rPr>
        <w:t xml:space="preserve"> </w:t>
      </w:r>
      <w:r w:rsidR="000962A3" w:rsidRPr="005C6D34">
        <w:rPr>
          <w:rFonts w:cstheme="minorHAnsi"/>
          <w:sz w:val="24"/>
          <w:szCs w:val="24"/>
        </w:rPr>
        <w:t>support</w:t>
      </w:r>
      <w:r w:rsidRPr="005C6D34">
        <w:rPr>
          <w:rFonts w:cstheme="minorHAnsi"/>
          <w:sz w:val="24"/>
          <w:szCs w:val="24"/>
        </w:rPr>
        <w:t xml:space="preserve"> the findings o</w:t>
      </w:r>
      <w:r w:rsidR="00F656FD" w:rsidRPr="005C6D34">
        <w:rPr>
          <w:rFonts w:cstheme="minorHAnsi"/>
          <w:sz w:val="24"/>
          <w:szCs w:val="24"/>
        </w:rPr>
        <w:t xml:space="preserve">f Patel, Sadie, &amp; </w:t>
      </w:r>
      <w:proofErr w:type="spellStart"/>
      <w:r w:rsidR="00F656FD" w:rsidRPr="005C6D34">
        <w:rPr>
          <w:rFonts w:cstheme="minorHAnsi"/>
          <w:sz w:val="24"/>
          <w:szCs w:val="24"/>
        </w:rPr>
        <w:t>Bryer</w:t>
      </w:r>
      <w:proofErr w:type="spellEnd"/>
      <w:r w:rsidR="00F656FD" w:rsidRPr="005C6D34">
        <w:rPr>
          <w:rFonts w:cstheme="minorHAnsi"/>
          <w:sz w:val="24"/>
          <w:szCs w:val="24"/>
        </w:rPr>
        <w:t xml:space="preserve"> (2019)</w:t>
      </w:r>
      <w:r w:rsidR="00662F10" w:rsidRPr="005C6D34">
        <w:rPr>
          <w:rFonts w:cstheme="minorHAnsi"/>
          <w:sz w:val="24"/>
          <w:szCs w:val="24"/>
        </w:rPr>
        <w:t>,</w:t>
      </w:r>
      <w:r w:rsidR="000962A3" w:rsidRPr="005C6D34">
        <w:rPr>
          <w:rFonts w:cstheme="minorHAnsi"/>
          <w:sz w:val="24"/>
          <w:szCs w:val="24"/>
        </w:rPr>
        <w:t xml:space="preserve"> who found</w:t>
      </w:r>
      <w:r w:rsidR="00F656FD" w:rsidRPr="005C6D34">
        <w:rPr>
          <w:rFonts w:cstheme="minorHAnsi"/>
          <w:sz w:val="24"/>
          <w:szCs w:val="24"/>
        </w:rPr>
        <w:t xml:space="preserve"> </w:t>
      </w:r>
      <w:r w:rsidRPr="005C6D34">
        <w:rPr>
          <w:rFonts w:cstheme="minorHAnsi"/>
          <w:sz w:val="24"/>
          <w:szCs w:val="24"/>
        </w:rPr>
        <w:t>that a</w:t>
      </w:r>
      <w:r w:rsidR="000962A3" w:rsidRPr="005C6D34">
        <w:rPr>
          <w:rFonts w:cstheme="minorHAnsi"/>
          <w:sz w:val="24"/>
          <w:szCs w:val="24"/>
        </w:rPr>
        <w:t>pproximately</w:t>
      </w:r>
      <w:r w:rsidRPr="005C6D34">
        <w:rPr>
          <w:rFonts w:cstheme="minorHAnsi"/>
          <w:sz w:val="24"/>
          <w:szCs w:val="24"/>
        </w:rPr>
        <w:t xml:space="preserve"> 65% of South Africans view</w:t>
      </w:r>
      <w:r w:rsidR="000962A3" w:rsidRPr="005C6D34">
        <w:rPr>
          <w:rFonts w:cstheme="minorHAnsi"/>
          <w:sz w:val="24"/>
          <w:szCs w:val="24"/>
        </w:rPr>
        <w:t xml:space="preserve">ed </w:t>
      </w:r>
      <w:r w:rsidR="007F435E" w:rsidRPr="005C6D34">
        <w:rPr>
          <w:rFonts w:cstheme="minorHAnsi"/>
          <w:sz w:val="24"/>
          <w:szCs w:val="24"/>
        </w:rPr>
        <w:t xml:space="preserve">socio-economic </w:t>
      </w:r>
      <w:r w:rsidR="000962A3" w:rsidRPr="005C6D34">
        <w:rPr>
          <w:rFonts w:cstheme="minorHAnsi"/>
          <w:sz w:val="24"/>
          <w:szCs w:val="24"/>
        </w:rPr>
        <w:t xml:space="preserve">factors </w:t>
      </w:r>
      <w:r w:rsidRPr="005C6D34">
        <w:rPr>
          <w:rFonts w:cstheme="minorHAnsi"/>
          <w:sz w:val="24"/>
          <w:szCs w:val="24"/>
        </w:rPr>
        <w:t xml:space="preserve">as the primary reason for </w:t>
      </w:r>
      <w:r w:rsidR="000962A3" w:rsidRPr="005C6D34">
        <w:rPr>
          <w:rFonts w:cstheme="minorHAnsi"/>
          <w:sz w:val="24"/>
          <w:szCs w:val="24"/>
        </w:rPr>
        <w:t>c</w:t>
      </w:r>
      <w:r w:rsidR="00021A7C" w:rsidRPr="005C6D34">
        <w:rPr>
          <w:rFonts w:cstheme="minorHAnsi"/>
          <w:sz w:val="24"/>
          <w:szCs w:val="24"/>
        </w:rPr>
        <w:t>and</w:t>
      </w:r>
      <w:r w:rsidR="000962A3" w:rsidRPr="005C6D34">
        <w:rPr>
          <w:rFonts w:cstheme="minorHAnsi"/>
          <w:sz w:val="24"/>
          <w:szCs w:val="24"/>
        </w:rPr>
        <w:t xml:space="preserve">idate choice </w:t>
      </w:r>
      <w:r w:rsidRPr="005C6D34">
        <w:rPr>
          <w:rFonts w:cstheme="minorHAnsi"/>
          <w:sz w:val="24"/>
          <w:szCs w:val="24"/>
        </w:rPr>
        <w:t>in the 2019 elections over human rights</w:t>
      </w:r>
      <w:r w:rsidR="006237C5" w:rsidRPr="005C6D34">
        <w:rPr>
          <w:rFonts w:cstheme="minorHAnsi"/>
          <w:sz w:val="24"/>
          <w:szCs w:val="24"/>
        </w:rPr>
        <w:t>, race, etc</w:t>
      </w:r>
      <w:r w:rsidRPr="005C6D34">
        <w:rPr>
          <w:rFonts w:cstheme="minorHAnsi"/>
          <w:sz w:val="24"/>
          <w:szCs w:val="24"/>
        </w:rPr>
        <w:t xml:space="preserve">. </w:t>
      </w:r>
    </w:p>
    <w:p w14:paraId="218947C3" w14:textId="7FBA4508" w:rsidR="00D96A75" w:rsidRPr="005C6D34" w:rsidRDefault="00662F10" w:rsidP="000A687F">
      <w:pPr>
        <w:spacing w:line="360" w:lineRule="auto"/>
        <w:jc w:val="both"/>
        <w:rPr>
          <w:rFonts w:cstheme="minorHAnsi"/>
          <w:sz w:val="24"/>
          <w:szCs w:val="24"/>
        </w:rPr>
      </w:pPr>
      <w:r w:rsidRPr="005C6D34">
        <w:rPr>
          <w:rFonts w:cstheme="minorHAnsi"/>
          <w:sz w:val="24"/>
          <w:szCs w:val="24"/>
        </w:rPr>
        <w:t>According to the withdrawal hypothesis, voter behaviour is negatively affected by unfavourable socio-economic factor</w:t>
      </w:r>
      <w:r w:rsidR="00D96A75" w:rsidRPr="005C6D34">
        <w:rPr>
          <w:rFonts w:cstheme="minorHAnsi"/>
          <w:sz w:val="24"/>
          <w:szCs w:val="24"/>
        </w:rPr>
        <w:t xml:space="preserve">s. </w:t>
      </w:r>
      <w:r w:rsidR="00290072" w:rsidRPr="005C6D34">
        <w:rPr>
          <w:rFonts w:cstheme="minorHAnsi"/>
          <w:sz w:val="24"/>
          <w:szCs w:val="24"/>
        </w:rPr>
        <w:t xml:space="preserve">Rowe (2015) noted that voters would rather stay at home than </w:t>
      </w:r>
      <w:r w:rsidR="00407AF2" w:rsidRPr="005C6D34">
        <w:rPr>
          <w:rFonts w:cstheme="minorHAnsi"/>
          <w:sz w:val="24"/>
          <w:szCs w:val="24"/>
        </w:rPr>
        <w:t>cast</w:t>
      </w:r>
      <w:r w:rsidR="00290072" w:rsidRPr="005C6D34">
        <w:rPr>
          <w:rFonts w:cstheme="minorHAnsi"/>
          <w:sz w:val="24"/>
          <w:szCs w:val="24"/>
        </w:rPr>
        <w:t xml:space="preserve"> their votes to legitimise incumbents during worrying economic downturns. </w:t>
      </w:r>
      <w:r w:rsidR="00407AF2" w:rsidRPr="005C6D34">
        <w:rPr>
          <w:rFonts w:cstheme="minorHAnsi"/>
          <w:sz w:val="24"/>
          <w:szCs w:val="24"/>
        </w:rPr>
        <w:t>Rowe (2015) noted</w:t>
      </w:r>
      <w:r w:rsidR="00D96A75" w:rsidRPr="005C6D34">
        <w:rPr>
          <w:rFonts w:cstheme="minorHAnsi"/>
          <w:sz w:val="24"/>
          <w:szCs w:val="24"/>
        </w:rPr>
        <w:t xml:space="preserve"> that potential voters </w:t>
      </w:r>
      <w:r w:rsidR="00407AF2" w:rsidRPr="005C6D34">
        <w:rPr>
          <w:rFonts w:cstheme="minorHAnsi"/>
          <w:sz w:val="24"/>
          <w:szCs w:val="24"/>
        </w:rPr>
        <w:t>took</w:t>
      </w:r>
      <w:r w:rsidR="00D96A75" w:rsidRPr="005C6D34">
        <w:rPr>
          <w:rFonts w:cstheme="minorHAnsi"/>
          <w:sz w:val="24"/>
          <w:szCs w:val="24"/>
        </w:rPr>
        <w:t xml:space="preserve"> care of more pressing socio</w:t>
      </w:r>
      <w:r w:rsidR="00021A7C" w:rsidRPr="005C6D34">
        <w:rPr>
          <w:rFonts w:cstheme="minorHAnsi"/>
          <w:sz w:val="24"/>
          <w:szCs w:val="24"/>
        </w:rPr>
        <w:t>-</w:t>
      </w:r>
      <w:r w:rsidR="00D96A75" w:rsidRPr="005C6D34">
        <w:rPr>
          <w:rFonts w:cstheme="minorHAnsi"/>
          <w:sz w:val="24"/>
          <w:szCs w:val="24"/>
        </w:rPr>
        <w:t>economic needs instead of enduring the long route to chang</w:t>
      </w:r>
      <w:r w:rsidR="00021A7C" w:rsidRPr="005C6D34">
        <w:rPr>
          <w:rFonts w:cstheme="minorHAnsi"/>
          <w:sz w:val="24"/>
          <w:szCs w:val="24"/>
        </w:rPr>
        <w:t>ing</w:t>
      </w:r>
      <w:r w:rsidR="00D96A75" w:rsidRPr="005C6D34">
        <w:rPr>
          <w:rFonts w:cstheme="minorHAnsi"/>
          <w:sz w:val="24"/>
          <w:szCs w:val="24"/>
        </w:rPr>
        <w:t xml:space="preserve"> their situations by voting. In a study conducted in South Africa, Schulz</w:t>
      </w:r>
      <w:r w:rsidR="00407AF2" w:rsidRPr="005C6D34">
        <w:rPr>
          <w:rFonts w:cstheme="minorHAnsi"/>
          <w:sz w:val="24"/>
          <w:szCs w:val="24"/>
        </w:rPr>
        <w:t>–</w:t>
      </w:r>
      <w:r w:rsidR="00D96A75" w:rsidRPr="005C6D34">
        <w:rPr>
          <w:rFonts w:cstheme="minorHAnsi"/>
          <w:sz w:val="24"/>
          <w:szCs w:val="24"/>
        </w:rPr>
        <w:t>Herzenberg (2019) observed that voters who felt the incumbent had done a poor job h</w:t>
      </w:r>
      <w:r w:rsidR="00021A7C" w:rsidRPr="005C6D34">
        <w:rPr>
          <w:rFonts w:cstheme="minorHAnsi"/>
          <w:sz w:val="24"/>
          <w:szCs w:val="24"/>
        </w:rPr>
        <w:t>and</w:t>
      </w:r>
      <w:r w:rsidR="00D96A75" w:rsidRPr="005C6D34">
        <w:rPr>
          <w:rFonts w:cstheme="minorHAnsi"/>
          <w:sz w:val="24"/>
          <w:szCs w:val="24"/>
        </w:rPr>
        <w:t xml:space="preserve">ling </w:t>
      </w:r>
      <w:r w:rsidR="00D96A75" w:rsidRPr="005C6D34">
        <w:rPr>
          <w:rFonts w:cstheme="minorHAnsi"/>
          <w:sz w:val="24"/>
          <w:szCs w:val="24"/>
        </w:rPr>
        <w:lastRenderedPageBreak/>
        <w:t>their socio</w:t>
      </w:r>
      <w:r w:rsidR="00021A7C" w:rsidRPr="005C6D34">
        <w:rPr>
          <w:rFonts w:cstheme="minorHAnsi"/>
          <w:sz w:val="24"/>
          <w:szCs w:val="24"/>
        </w:rPr>
        <w:t>-</w:t>
      </w:r>
      <w:r w:rsidR="00D96A75" w:rsidRPr="005C6D34">
        <w:rPr>
          <w:rFonts w:cstheme="minorHAnsi"/>
          <w:sz w:val="24"/>
          <w:szCs w:val="24"/>
        </w:rPr>
        <w:t xml:space="preserve">economic wellbeing </w:t>
      </w:r>
      <w:r w:rsidR="00407AF2" w:rsidRPr="005C6D34">
        <w:rPr>
          <w:rFonts w:cstheme="minorHAnsi"/>
          <w:sz w:val="24"/>
          <w:szCs w:val="24"/>
        </w:rPr>
        <w:t>were more likely to abstain from voting</w:t>
      </w:r>
      <w:r w:rsidR="00D96A75" w:rsidRPr="005C6D34">
        <w:rPr>
          <w:rFonts w:cstheme="minorHAnsi"/>
          <w:sz w:val="24"/>
          <w:szCs w:val="24"/>
        </w:rPr>
        <w:t xml:space="preserve"> during the 2014 elections. </w:t>
      </w:r>
      <w:r w:rsidR="005C6979" w:rsidRPr="005C6D34">
        <w:rPr>
          <w:rFonts w:cstheme="minorHAnsi"/>
          <w:sz w:val="24"/>
          <w:szCs w:val="24"/>
        </w:rPr>
        <w:t>W</w:t>
      </w:r>
      <w:r w:rsidR="00F95A48" w:rsidRPr="005C6D34">
        <w:rPr>
          <w:rFonts w:cstheme="minorHAnsi"/>
          <w:sz w:val="24"/>
          <w:szCs w:val="24"/>
        </w:rPr>
        <w:t>h</w:t>
      </w:r>
      <w:r w:rsidR="005C6979" w:rsidRPr="005C6D34">
        <w:rPr>
          <w:rFonts w:cstheme="minorHAnsi"/>
          <w:sz w:val="24"/>
          <w:szCs w:val="24"/>
        </w:rPr>
        <w:t>i</w:t>
      </w:r>
      <w:r w:rsidR="00F95A48" w:rsidRPr="005C6D34">
        <w:rPr>
          <w:rFonts w:cstheme="minorHAnsi"/>
          <w:sz w:val="24"/>
          <w:szCs w:val="24"/>
        </w:rPr>
        <w:t>lst</w:t>
      </w:r>
      <w:r w:rsidR="005C6979" w:rsidRPr="005C6D34">
        <w:rPr>
          <w:rFonts w:cstheme="minorHAnsi"/>
          <w:sz w:val="24"/>
          <w:szCs w:val="24"/>
        </w:rPr>
        <w:t xml:space="preserve"> </w:t>
      </w:r>
      <w:r w:rsidR="00D96A75" w:rsidRPr="005C6D34">
        <w:rPr>
          <w:rFonts w:cstheme="minorHAnsi"/>
          <w:sz w:val="24"/>
          <w:szCs w:val="24"/>
        </w:rPr>
        <w:t xml:space="preserve">mobilisation </w:t>
      </w:r>
      <w:r w:rsidR="00021A7C" w:rsidRPr="005C6D34">
        <w:rPr>
          <w:rFonts w:cstheme="minorHAnsi"/>
          <w:sz w:val="24"/>
          <w:szCs w:val="24"/>
        </w:rPr>
        <w:t>and</w:t>
      </w:r>
      <w:r w:rsidR="00D96A75" w:rsidRPr="005C6D34">
        <w:rPr>
          <w:rFonts w:cstheme="minorHAnsi"/>
          <w:sz w:val="24"/>
          <w:szCs w:val="24"/>
        </w:rPr>
        <w:t xml:space="preserve"> withdrawal effects are bas</w:t>
      </w:r>
      <w:r w:rsidR="005C6979" w:rsidRPr="005C6D34">
        <w:rPr>
          <w:rFonts w:cstheme="minorHAnsi"/>
          <w:sz w:val="24"/>
          <w:szCs w:val="24"/>
        </w:rPr>
        <w:t xml:space="preserve">ed on robust data </w:t>
      </w:r>
      <w:r w:rsidR="00021A7C" w:rsidRPr="005C6D34">
        <w:rPr>
          <w:rFonts w:cstheme="minorHAnsi"/>
          <w:sz w:val="24"/>
          <w:szCs w:val="24"/>
        </w:rPr>
        <w:t>and</w:t>
      </w:r>
      <w:r w:rsidR="005C6979" w:rsidRPr="005C6D34">
        <w:rPr>
          <w:rFonts w:cstheme="minorHAnsi"/>
          <w:sz w:val="24"/>
          <w:szCs w:val="24"/>
        </w:rPr>
        <w:t xml:space="preserve"> evidence,</w:t>
      </w:r>
      <w:r w:rsidR="00D96A75" w:rsidRPr="005C6D34">
        <w:rPr>
          <w:rFonts w:cstheme="minorHAnsi"/>
          <w:sz w:val="24"/>
          <w:szCs w:val="24"/>
        </w:rPr>
        <w:t xml:space="preserve"> </w:t>
      </w:r>
      <w:proofErr w:type="spellStart"/>
      <w:r w:rsidR="00D96A75" w:rsidRPr="005C6D34">
        <w:rPr>
          <w:rFonts w:cstheme="minorHAnsi"/>
          <w:sz w:val="24"/>
          <w:szCs w:val="24"/>
        </w:rPr>
        <w:t>Azzollini</w:t>
      </w:r>
      <w:proofErr w:type="spellEnd"/>
      <w:r w:rsidR="00D96A75" w:rsidRPr="005C6D34">
        <w:rPr>
          <w:rFonts w:cstheme="minorHAnsi"/>
          <w:sz w:val="24"/>
          <w:szCs w:val="24"/>
        </w:rPr>
        <w:t xml:space="preserve"> (2021) noted </w:t>
      </w:r>
      <w:r w:rsidR="00407AF2" w:rsidRPr="005C6D34">
        <w:rPr>
          <w:rFonts w:cstheme="minorHAnsi"/>
          <w:sz w:val="24"/>
          <w:szCs w:val="24"/>
        </w:rPr>
        <w:t xml:space="preserve">that the effects of </w:t>
      </w:r>
      <w:r w:rsidR="00F95A48" w:rsidRPr="005C6D34">
        <w:rPr>
          <w:rFonts w:cstheme="minorHAnsi"/>
          <w:sz w:val="24"/>
          <w:szCs w:val="24"/>
        </w:rPr>
        <w:t>socio</w:t>
      </w:r>
      <w:r w:rsidR="00021A7C" w:rsidRPr="005C6D34">
        <w:rPr>
          <w:rFonts w:cstheme="minorHAnsi"/>
          <w:sz w:val="24"/>
          <w:szCs w:val="24"/>
        </w:rPr>
        <w:t>-</w:t>
      </w:r>
      <w:r w:rsidR="00F95A48" w:rsidRPr="005C6D34">
        <w:rPr>
          <w:rFonts w:cstheme="minorHAnsi"/>
          <w:sz w:val="24"/>
          <w:szCs w:val="24"/>
        </w:rPr>
        <w:t>economic factors</w:t>
      </w:r>
      <w:r w:rsidR="00D96A75" w:rsidRPr="005C6D34">
        <w:rPr>
          <w:rFonts w:cstheme="minorHAnsi"/>
          <w:sz w:val="24"/>
          <w:szCs w:val="24"/>
        </w:rPr>
        <w:t xml:space="preserve"> on voter behaviour </w:t>
      </w:r>
      <w:r w:rsidR="00407AF2" w:rsidRPr="005C6D34">
        <w:rPr>
          <w:rFonts w:cstheme="minorHAnsi"/>
          <w:sz w:val="24"/>
          <w:szCs w:val="24"/>
        </w:rPr>
        <w:t>we</w:t>
      </w:r>
      <w:r w:rsidR="00D96A75" w:rsidRPr="005C6D34">
        <w:rPr>
          <w:rFonts w:cstheme="minorHAnsi"/>
          <w:sz w:val="24"/>
          <w:szCs w:val="24"/>
        </w:rPr>
        <w:t xml:space="preserve">re statistically not significant </w:t>
      </w:r>
      <w:r w:rsidR="00407AF2" w:rsidRPr="005C6D34">
        <w:rPr>
          <w:rFonts w:cstheme="minorHAnsi"/>
          <w:sz w:val="24"/>
          <w:szCs w:val="24"/>
        </w:rPr>
        <w:t xml:space="preserve">enough </w:t>
      </w:r>
      <w:r w:rsidR="00D96A75" w:rsidRPr="005C6D34">
        <w:rPr>
          <w:rFonts w:cstheme="minorHAnsi"/>
          <w:sz w:val="24"/>
          <w:szCs w:val="24"/>
        </w:rPr>
        <w:t xml:space="preserve">to make a definite conclusion. </w:t>
      </w:r>
    </w:p>
    <w:p w14:paraId="09B137A9" w14:textId="3036C8BC" w:rsidR="00467839" w:rsidRPr="005C6D34" w:rsidRDefault="38946B00" w:rsidP="000A687F">
      <w:pPr>
        <w:spacing w:line="360" w:lineRule="auto"/>
        <w:jc w:val="both"/>
        <w:rPr>
          <w:rFonts w:cstheme="minorHAnsi"/>
          <w:sz w:val="24"/>
          <w:szCs w:val="24"/>
        </w:rPr>
      </w:pPr>
      <w:r w:rsidRPr="005C6D34">
        <w:rPr>
          <w:rFonts w:cstheme="minorHAnsi"/>
          <w:sz w:val="24"/>
          <w:szCs w:val="24"/>
        </w:rPr>
        <w:t xml:space="preserve">The two hypotheses </w:t>
      </w:r>
      <w:r w:rsidR="00407AF2" w:rsidRPr="005C6D34">
        <w:rPr>
          <w:rFonts w:cstheme="minorHAnsi"/>
          <w:sz w:val="24"/>
          <w:szCs w:val="24"/>
        </w:rPr>
        <w:t>–</w:t>
      </w:r>
      <w:r w:rsidRPr="005C6D34">
        <w:rPr>
          <w:rFonts w:cstheme="minorHAnsi"/>
          <w:sz w:val="24"/>
          <w:szCs w:val="24"/>
        </w:rPr>
        <w:t xml:space="preserve"> mobilisation </w:t>
      </w:r>
      <w:r w:rsidR="00021A7C" w:rsidRPr="005C6D34">
        <w:rPr>
          <w:rFonts w:cstheme="minorHAnsi"/>
          <w:sz w:val="24"/>
          <w:szCs w:val="24"/>
        </w:rPr>
        <w:t>and</w:t>
      </w:r>
      <w:r w:rsidRPr="005C6D34">
        <w:rPr>
          <w:rFonts w:cstheme="minorHAnsi"/>
          <w:sz w:val="24"/>
          <w:szCs w:val="24"/>
        </w:rPr>
        <w:t xml:space="preserve"> withdrawal </w:t>
      </w:r>
      <w:r w:rsidR="00407AF2" w:rsidRPr="005C6D34">
        <w:rPr>
          <w:rFonts w:cstheme="minorHAnsi"/>
          <w:sz w:val="24"/>
          <w:szCs w:val="24"/>
        </w:rPr>
        <w:t>–</w:t>
      </w:r>
      <w:r w:rsidRPr="005C6D34">
        <w:rPr>
          <w:rFonts w:cstheme="minorHAnsi"/>
          <w:sz w:val="24"/>
          <w:szCs w:val="24"/>
        </w:rPr>
        <w:t xml:space="preserve"> </w:t>
      </w:r>
      <w:r w:rsidR="00407AF2" w:rsidRPr="005C6D34">
        <w:rPr>
          <w:rFonts w:cstheme="minorHAnsi"/>
          <w:sz w:val="24"/>
          <w:szCs w:val="24"/>
        </w:rPr>
        <w:t>have not been fully tested</w:t>
      </w:r>
      <w:r w:rsidRPr="005C6D34">
        <w:rPr>
          <w:rFonts w:cstheme="minorHAnsi"/>
          <w:sz w:val="24"/>
          <w:szCs w:val="24"/>
        </w:rPr>
        <w:t xml:space="preserve"> in Africa. </w:t>
      </w:r>
      <w:proofErr w:type="spellStart"/>
      <w:r w:rsidR="00F95A48" w:rsidRPr="005C6D34">
        <w:rPr>
          <w:rFonts w:cstheme="minorHAnsi"/>
          <w:sz w:val="24"/>
          <w:szCs w:val="24"/>
        </w:rPr>
        <w:t>Lynge</w:t>
      </w:r>
      <w:proofErr w:type="spellEnd"/>
      <w:r w:rsidR="00F95A48" w:rsidRPr="005C6D34">
        <w:rPr>
          <w:rFonts w:cstheme="minorHAnsi"/>
          <w:sz w:val="24"/>
          <w:szCs w:val="24"/>
        </w:rPr>
        <w:t xml:space="preserve"> &amp; Martínez i Coma</w:t>
      </w:r>
      <w:r w:rsidR="00A03141" w:rsidRPr="005C6D34">
        <w:rPr>
          <w:rFonts w:cstheme="minorHAnsi"/>
          <w:sz w:val="24"/>
          <w:szCs w:val="24"/>
        </w:rPr>
        <w:t>’</w:t>
      </w:r>
      <w:r w:rsidR="00F95A48" w:rsidRPr="005C6D34">
        <w:rPr>
          <w:rFonts w:cstheme="minorHAnsi"/>
          <w:sz w:val="24"/>
          <w:szCs w:val="24"/>
        </w:rPr>
        <w:t>s (2022) study</w:t>
      </w:r>
      <w:r w:rsidRPr="005C6D34">
        <w:rPr>
          <w:rFonts w:cstheme="minorHAnsi"/>
          <w:sz w:val="24"/>
          <w:szCs w:val="24"/>
        </w:rPr>
        <w:t xml:space="preserve"> focused mainly on presidential elections</w:t>
      </w:r>
      <w:r w:rsidR="00F95A48" w:rsidRPr="005C6D34">
        <w:rPr>
          <w:rFonts w:cstheme="minorHAnsi"/>
          <w:sz w:val="24"/>
          <w:szCs w:val="24"/>
        </w:rPr>
        <w:t>. It</w:t>
      </w:r>
      <w:r w:rsidR="005C6979" w:rsidRPr="005C6D34">
        <w:rPr>
          <w:rFonts w:cstheme="minorHAnsi"/>
          <w:sz w:val="24"/>
          <w:szCs w:val="24"/>
        </w:rPr>
        <w:t xml:space="preserve"> </w:t>
      </w:r>
      <w:r w:rsidRPr="005C6D34">
        <w:rPr>
          <w:rFonts w:cstheme="minorHAnsi"/>
          <w:sz w:val="24"/>
          <w:szCs w:val="24"/>
        </w:rPr>
        <w:t>did not consider local or sub</w:t>
      </w:r>
      <w:r w:rsidR="00021A7C" w:rsidRPr="005C6D34">
        <w:rPr>
          <w:rFonts w:cstheme="minorHAnsi"/>
          <w:sz w:val="24"/>
          <w:szCs w:val="24"/>
        </w:rPr>
        <w:t>-</w:t>
      </w:r>
      <w:r w:rsidRPr="005C6D34">
        <w:rPr>
          <w:rFonts w:cstheme="minorHAnsi"/>
          <w:sz w:val="24"/>
          <w:szCs w:val="24"/>
        </w:rPr>
        <w:t xml:space="preserve">national elections that tend to have stiffer competition </w:t>
      </w:r>
      <w:r w:rsidR="00021A7C" w:rsidRPr="005C6D34">
        <w:rPr>
          <w:rFonts w:cstheme="minorHAnsi"/>
          <w:sz w:val="24"/>
          <w:szCs w:val="24"/>
        </w:rPr>
        <w:t>and</w:t>
      </w:r>
      <w:r w:rsidRPr="005C6D34">
        <w:rPr>
          <w:rFonts w:cstheme="minorHAnsi"/>
          <w:sz w:val="24"/>
          <w:szCs w:val="24"/>
        </w:rPr>
        <w:t xml:space="preserve"> are closer to the people at the grassroots. </w:t>
      </w:r>
      <w:r w:rsidR="00237BE4" w:rsidRPr="005C6D34">
        <w:rPr>
          <w:rFonts w:cstheme="minorHAnsi"/>
          <w:sz w:val="24"/>
          <w:szCs w:val="24"/>
        </w:rPr>
        <w:t>I</w:t>
      </w:r>
      <w:r w:rsidRPr="005C6D34">
        <w:rPr>
          <w:rFonts w:cstheme="minorHAnsi"/>
          <w:sz w:val="24"/>
          <w:szCs w:val="24"/>
        </w:rPr>
        <w:t xml:space="preserve">n many cases, </w:t>
      </w:r>
      <w:r w:rsidR="002635FB" w:rsidRPr="005C6D34">
        <w:rPr>
          <w:rFonts w:cstheme="minorHAnsi"/>
          <w:sz w:val="24"/>
          <w:szCs w:val="24"/>
        </w:rPr>
        <w:t>Nigeria</w:t>
      </w:r>
      <w:r w:rsidR="00021A7C" w:rsidRPr="005C6D34">
        <w:rPr>
          <w:rFonts w:cstheme="minorHAnsi"/>
          <w:sz w:val="24"/>
          <w:szCs w:val="24"/>
        </w:rPr>
        <w:t>n</w:t>
      </w:r>
      <w:r w:rsidR="002635FB" w:rsidRPr="005C6D34">
        <w:rPr>
          <w:rFonts w:cstheme="minorHAnsi"/>
          <w:sz w:val="24"/>
          <w:szCs w:val="24"/>
        </w:rPr>
        <w:t xml:space="preserve"> presidential elections are </w:t>
      </w:r>
      <w:r w:rsidR="00407AF2" w:rsidRPr="005C6D34">
        <w:rPr>
          <w:rFonts w:cstheme="minorHAnsi"/>
          <w:sz w:val="24"/>
          <w:szCs w:val="24"/>
        </w:rPr>
        <w:t xml:space="preserve">based </w:t>
      </w:r>
      <w:r w:rsidR="002635FB" w:rsidRPr="005C6D34">
        <w:rPr>
          <w:rFonts w:cstheme="minorHAnsi"/>
          <w:sz w:val="24"/>
          <w:szCs w:val="24"/>
        </w:rPr>
        <w:t xml:space="preserve">on ethnic loyalty, violence </w:t>
      </w:r>
      <w:r w:rsidR="00021A7C" w:rsidRPr="005C6D34">
        <w:rPr>
          <w:rFonts w:cstheme="minorHAnsi"/>
          <w:sz w:val="24"/>
          <w:szCs w:val="24"/>
        </w:rPr>
        <w:t>and</w:t>
      </w:r>
      <w:r w:rsidR="002635FB" w:rsidRPr="005C6D34">
        <w:rPr>
          <w:rFonts w:cstheme="minorHAnsi"/>
          <w:sz w:val="24"/>
          <w:szCs w:val="24"/>
        </w:rPr>
        <w:t xml:space="preserve"> ethnoreligious considerations</w:t>
      </w:r>
      <w:r w:rsidRPr="005C6D34">
        <w:rPr>
          <w:rFonts w:cstheme="minorHAnsi"/>
          <w:sz w:val="24"/>
          <w:szCs w:val="24"/>
        </w:rPr>
        <w:t xml:space="preserve"> (Collier</w:t>
      </w:r>
      <w:r w:rsidR="00407AF2" w:rsidRPr="005C6D34">
        <w:rPr>
          <w:rFonts w:cstheme="minorHAnsi"/>
          <w:sz w:val="24"/>
          <w:szCs w:val="24"/>
        </w:rPr>
        <w:t>,</w:t>
      </w:r>
      <w:r w:rsidRPr="005C6D34">
        <w:rPr>
          <w:rFonts w:cstheme="minorHAnsi"/>
          <w:sz w:val="24"/>
          <w:szCs w:val="24"/>
        </w:rPr>
        <w:t xml:space="preserve"> 2009). In the period under review, only a h</w:t>
      </w:r>
      <w:r w:rsidR="00021A7C" w:rsidRPr="005C6D34">
        <w:rPr>
          <w:rFonts w:cstheme="minorHAnsi"/>
          <w:sz w:val="24"/>
          <w:szCs w:val="24"/>
        </w:rPr>
        <w:t>and</w:t>
      </w:r>
      <w:r w:rsidRPr="005C6D34">
        <w:rPr>
          <w:rFonts w:cstheme="minorHAnsi"/>
          <w:sz w:val="24"/>
          <w:szCs w:val="24"/>
        </w:rPr>
        <w:t>ful of sitting presidents lost re</w:t>
      </w:r>
      <w:r w:rsidR="00021A7C" w:rsidRPr="005C6D34">
        <w:rPr>
          <w:rFonts w:cstheme="minorHAnsi"/>
          <w:sz w:val="24"/>
          <w:szCs w:val="24"/>
        </w:rPr>
        <w:t>-</w:t>
      </w:r>
      <w:r w:rsidRPr="005C6D34">
        <w:rPr>
          <w:rFonts w:cstheme="minorHAnsi"/>
          <w:sz w:val="24"/>
          <w:szCs w:val="24"/>
        </w:rPr>
        <w:t>election bids (</w:t>
      </w:r>
      <w:proofErr w:type="spellStart"/>
      <w:r w:rsidRPr="005C6D34">
        <w:rPr>
          <w:rFonts w:cstheme="minorHAnsi"/>
          <w:sz w:val="24"/>
          <w:szCs w:val="24"/>
        </w:rPr>
        <w:t>Fayomi</w:t>
      </w:r>
      <w:proofErr w:type="spellEnd"/>
      <w:r w:rsidRPr="005C6D34">
        <w:rPr>
          <w:rFonts w:cstheme="minorHAnsi"/>
          <w:sz w:val="24"/>
          <w:szCs w:val="24"/>
        </w:rPr>
        <w:t xml:space="preserve">, </w:t>
      </w:r>
      <w:proofErr w:type="spellStart"/>
      <w:r w:rsidRPr="005C6D34">
        <w:rPr>
          <w:rFonts w:cstheme="minorHAnsi"/>
          <w:sz w:val="24"/>
          <w:szCs w:val="24"/>
        </w:rPr>
        <w:t>Salau</w:t>
      </w:r>
      <w:proofErr w:type="spellEnd"/>
      <w:r w:rsidRPr="005C6D34">
        <w:rPr>
          <w:rFonts w:cstheme="minorHAnsi"/>
          <w:sz w:val="24"/>
          <w:szCs w:val="24"/>
        </w:rPr>
        <w:t>, Popoola &amp; Adigun</w:t>
      </w:r>
      <w:r w:rsidR="00407AF2" w:rsidRPr="005C6D34">
        <w:rPr>
          <w:rFonts w:cstheme="minorHAnsi"/>
          <w:sz w:val="24"/>
          <w:szCs w:val="24"/>
        </w:rPr>
        <w:t>,</w:t>
      </w:r>
      <w:r w:rsidRPr="005C6D34">
        <w:rPr>
          <w:rFonts w:cstheme="minorHAnsi"/>
          <w:sz w:val="24"/>
          <w:szCs w:val="24"/>
        </w:rPr>
        <w:t xml:space="preserve"> 2020). Several of them were removed from office through coup d'état or assassination.</w:t>
      </w:r>
    </w:p>
    <w:p w14:paraId="6E4FD40B" w14:textId="2B439E22" w:rsidR="00D96A75" w:rsidRPr="005C6D34" w:rsidRDefault="00D96A75" w:rsidP="000A687F">
      <w:pPr>
        <w:pStyle w:val="ListParagraph"/>
        <w:numPr>
          <w:ilvl w:val="1"/>
          <w:numId w:val="5"/>
        </w:numPr>
        <w:spacing w:line="360" w:lineRule="auto"/>
        <w:rPr>
          <w:rFonts w:cstheme="minorHAnsi"/>
          <w:b/>
          <w:i/>
          <w:sz w:val="24"/>
          <w:szCs w:val="24"/>
        </w:rPr>
      </w:pPr>
      <w:r w:rsidRPr="005C6D34">
        <w:rPr>
          <w:rFonts w:cstheme="minorHAnsi"/>
          <w:b/>
          <w:i/>
          <w:sz w:val="24"/>
          <w:szCs w:val="24"/>
        </w:rPr>
        <w:t xml:space="preserve">Digital </w:t>
      </w:r>
      <w:r w:rsidR="00407AF2" w:rsidRPr="005C6D34">
        <w:rPr>
          <w:rFonts w:cstheme="minorHAnsi"/>
          <w:b/>
          <w:i/>
          <w:sz w:val="24"/>
          <w:szCs w:val="24"/>
        </w:rPr>
        <w:t>S</w:t>
      </w:r>
      <w:r w:rsidRPr="005C6D34">
        <w:rPr>
          <w:rFonts w:cstheme="minorHAnsi"/>
          <w:b/>
          <w:i/>
          <w:sz w:val="24"/>
          <w:szCs w:val="24"/>
        </w:rPr>
        <w:t xml:space="preserve">pace </w:t>
      </w:r>
      <w:r w:rsidR="00021A7C" w:rsidRPr="005C6D34">
        <w:rPr>
          <w:rFonts w:cstheme="minorHAnsi"/>
          <w:b/>
          <w:i/>
          <w:sz w:val="24"/>
          <w:szCs w:val="24"/>
        </w:rPr>
        <w:t>and</w:t>
      </w:r>
      <w:r w:rsidRPr="005C6D34">
        <w:rPr>
          <w:rFonts w:cstheme="minorHAnsi"/>
          <w:b/>
          <w:i/>
          <w:sz w:val="24"/>
          <w:szCs w:val="24"/>
        </w:rPr>
        <w:t xml:space="preserve"> </w:t>
      </w:r>
      <w:r w:rsidR="00407AF2" w:rsidRPr="005C6D34">
        <w:rPr>
          <w:rFonts w:cstheme="minorHAnsi"/>
          <w:b/>
          <w:i/>
          <w:sz w:val="24"/>
          <w:szCs w:val="24"/>
        </w:rPr>
        <w:t>V</w:t>
      </w:r>
      <w:r w:rsidRPr="005C6D34">
        <w:rPr>
          <w:rFonts w:cstheme="minorHAnsi"/>
          <w:b/>
          <w:i/>
          <w:sz w:val="24"/>
          <w:szCs w:val="24"/>
        </w:rPr>
        <w:t xml:space="preserve">oter </w:t>
      </w:r>
      <w:r w:rsidR="00407AF2" w:rsidRPr="005C6D34">
        <w:rPr>
          <w:rFonts w:cstheme="minorHAnsi"/>
          <w:b/>
          <w:i/>
          <w:sz w:val="24"/>
          <w:szCs w:val="24"/>
        </w:rPr>
        <w:t>B</w:t>
      </w:r>
      <w:r w:rsidRPr="005C6D34">
        <w:rPr>
          <w:rFonts w:cstheme="minorHAnsi"/>
          <w:b/>
          <w:i/>
          <w:sz w:val="24"/>
          <w:szCs w:val="24"/>
        </w:rPr>
        <w:t>ehaviour</w:t>
      </w:r>
    </w:p>
    <w:p w14:paraId="37B91AAB" w14:textId="1BB9AB54" w:rsidR="00D96A75" w:rsidRPr="005C6D34" w:rsidRDefault="00407AF2" w:rsidP="000A687F">
      <w:pPr>
        <w:spacing w:line="360" w:lineRule="auto"/>
        <w:jc w:val="both"/>
        <w:rPr>
          <w:rFonts w:cstheme="minorHAnsi"/>
          <w:sz w:val="24"/>
          <w:szCs w:val="24"/>
        </w:rPr>
      </w:pPr>
      <w:r w:rsidRPr="005C6D34">
        <w:rPr>
          <w:rFonts w:cstheme="minorHAnsi"/>
          <w:sz w:val="24"/>
          <w:szCs w:val="24"/>
        </w:rPr>
        <w:t>Various s</w:t>
      </w:r>
      <w:r w:rsidR="00D96A75" w:rsidRPr="005C6D34">
        <w:rPr>
          <w:rFonts w:cstheme="minorHAnsi"/>
          <w:sz w:val="24"/>
          <w:szCs w:val="24"/>
        </w:rPr>
        <w:t>tudies</w:t>
      </w:r>
      <w:r w:rsidRPr="005C6D34">
        <w:rPr>
          <w:rFonts w:cstheme="minorHAnsi"/>
          <w:sz w:val="24"/>
          <w:szCs w:val="24"/>
        </w:rPr>
        <w:t xml:space="preserve"> indicate that the political engagement of young people is improved through social media engagement (</w:t>
      </w:r>
      <w:r w:rsidR="00D96A75" w:rsidRPr="005C6D34">
        <w:rPr>
          <w:rFonts w:cstheme="minorHAnsi"/>
          <w:sz w:val="24"/>
          <w:szCs w:val="24"/>
        </w:rPr>
        <w:t>Lee</w:t>
      </w:r>
      <w:r w:rsidRPr="005C6D34">
        <w:rPr>
          <w:rFonts w:cstheme="minorHAnsi"/>
          <w:sz w:val="24"/>
          <w:szCs w:val="24"/>
        </w:rPr>
        <w:t xml:space="preserve">, </w:t>
      </w:r>
      <w:r w:rsidR="00D96A75" w:rsidRPr="005C6D34">
        <w:rPr>
          <w:rFonts w:cstheme="minorHAnsi"/>
          <w:sz w:val="24"/>
          <w:szCs w:val="24"/>
        </w:rPr>
        <w:t>2020</w:t>
      </w:r>
      <w:r w:rsidRPr="005C6D34">
        <w:rPr>
          <w:rFonts w:cstheme="minorHAnsi"/>
          <w:sz w:val="24"/>
          <w:szCs w:val="24"/>
        </w:rPr>
        <w:t>;</w:t>
      </w:r>
      <w:r w:rsidR="00D96A75" w:rsidRPr="005C6D34">
        <w:rPr>
          <w:rFonts w:cstheme="minorHAnsi"/>
          <w:sz w:val="24"/>
          <w:szCs w:val="24"/>
        </w:rPr>
        <w:t xml:space="preserve"> Xenos, </w:t>
      </w:r>
      <w:proofErr w:type="spellStart"/>
      <w:r w:rsidR="00D96A75" w:rsidRPr="005C6D34">
        <w:rPr>
          <w:rFonts w:cstheme="minorHAnsi"/>
          <w:sz w:val="24"/>
          <w:szCs w:val="24"/>
        </w:rPr>
        <w:t>Vromen</w:t>
      </w:r>
      <w:proofErr w:type="spellEnd"/>
      <w:r w:rsidR="00D96A75" w:rsidRPr="005C6D34">
        <w:rPr>
          <w:rFonts w:cstheme="minorHAnsi"/>
          <w:sz w:val="24"/>
          <w:szCs w:val="24"/>
        </w:rPr>
        <w:t xml:space="preserve"> &amp; Loader</w:t>
      </w:r>
      <w:r w:rsidRPr="005C6D34">
        <w:rPr>
          <w:rFonts w:cstheme="minorHAnsi"/>
          <w:sz w:val="24"/>
          <w:szCs w:val="24"/>
        </w:rPr>
        <w:t xml:space="preserve">, </w:t>
      </w:r>
      <w:r w:rsidR="00D96A75" w:rsidRPr="005C6D34">
        <w:rPr>
          <w:rFonts w:cstheme="minorHAnsi"/>
          <w:sz w:val="24"/>
          <w:szCs w:val="24"/>
        </w:rPr>
        <w:t>2014</w:t>
      </w:r>
      <w:r w:rsidRPr="005C6D34">
        <w:rPr>
          <w:rFonts w:cstheme="minorHAnsi"/>
          <w:sz w:val="24"/>
          <w:szCs w:val="24"/>
        </w:rPr>
        <w:t>;</w:t>
      </w:r>
      <w:r w:rsidR="00D96A75" w:rsidRPr="005C6D34">
        <w:rPr>
          <w:rFonts w:cstheme="minorHAnsi"/>
          <w:sz w:val="24"/>
          <w:szCs w:val="24"/>
        </w:rPr>
        <w:t xml:space="preserve"> Baumgartner &amp; Morri</w:t>
      </w:r>
      <w:r w:rsidRPr="005C6D34">
        <w:rPr>
          <w:rFonts w:cstheme="minorHAnsi"/>
          <w:sz w:val="24"/>
          <w:szCs w:val="24"/>
        </w:rPr>
        <w:t xml:space="preserve">s, </w:t>
      </w:r>
      <w:r w:rsidR="00D96A75" w:rsidRPr="005C6D34">
        <w:rPr>
          <w:rFonts w:cstheme="minorHAnsi"/>
          <w:sz w:val="24"/>
          <w:szCs w:val="24"/>
        </w:rPr>
        <w:t>2010</w:t>
      </w:r>
      <w:r w:rsidRPr="005C6D34">
        <w:rPr>
          <w:rFonts w:cstheme="minorHAnsi"/>
          <w:sz w:val="24"/>
          <w:szCs w:val="24"/>
        </w:rPr>
        <w:t>;</w:t>
      </w:r>
      <w:r w:rsidR="00D96A75" w:rsidRPr="005C6D34">
        <w:rPr>
          <w:rFonts w:cstheme="minorHAnsi"/>
          <w:sz w:val="24"/>
          <w:szCs w:val="24"/>
        </w:rPr>
        <w:t xml:space="preserve"> Hampton, Lee &amp; Her</w:t>
      </w:r>
      <w:r w:rsidRPr="005C6D34">
        <w:rPr>
          <w:rFonts w:cstheme="minorHAnsi"/>
          <w:sz w:val="24"/>
          <w:szCs w:val="24"/>
        </w:rPr>
        <w:t xml:space="preserve">, </w:t>
      </w:r>
      <w:r w:rsidR="00D96A75" w:rsidRPr="005C6D34">
        <w:rPr>
          <w:rFonts w:cstheme="minorHAnsi"/>
          <w:sz w:val="24"/>
          <w:szCs w:val="24"/>
        </w:rPr>
        <w:t>2011</w:t>
      </w:r>
      <w:r w:rsidRPr="005C6D34">
        <w:rPr>
          <w:rFonts w:cstheme="minorHAnsi"/>
          <w:sz w:val="24"/>
          <w:szCs w:val="24"/>
        </w:rPr>
        <w:t>;</w:t>
      </w:r>
      <w:r w:rsidR="00D96A75" w:rsidRPr="005C6D34">
        <w:rPr>
          <w:rFonts w:cstheme="minorHAnsi"/>
          <w:sz w:val="24"/>
          <w:szCs w:val="24"/>
        </w:rPr>
        <w:t xml:space="preserve"> Schlozman, </w:t>
      </w:r>
      <w:proofErr w:type="spellStart"/>
      <w:r w:rsidR="00D96A75" w:rsidRPr="005C6D34">
        <w:rPr>
          <w:rFonts w:cstheme="minorHAnsi"/>
          <w:sz w:val="24"/>
          <w:szCs w:val="24"/>
        </w:rPr>
        <w:t>Verba</w:t>
      </w:r>
      <w:proofErr w:type="spellEnd"/>
      <w:r w:rsidR="00D96A75" w:rsidRPr="005C6D34">
        <w:rPr>
          <w:rFonts w:cstheme="minorHAnsi"/>
          <w:sz w:val="24"/>
          <w:szCs w:val="24"/>
        </w:rPr>
        <w:t xml:space="preserve"> &amp; Brady</w:t>
      </w:r>
      <w:r w:rsidRPr="005C6D34">
        <w:rPr>
          <w:rFonts w:cstheme="minorHAnsi"/>
          <w:sz w:val="24"/>
          <w:szCs w:val="24"/>
        </w:rPr>
        <w:t xml:space="preserve">, </w:t>
      </w:r>
      <w:r w:rsidR="00D96A75" w:rsidRPr="005C6D34">
        <w:rPr>
          <w:rFonts w:cstheme="minorHAnsi"/>
          <w:sz w:val="24"/>
          <w:szCs w:val="24"/>
        </w:rPr>
        <w:t>2010</w:t>
      </w:r>
      <w:r w:rsidRPr="005C6D34">
        <w:rPr>
          <w:rFonts w:cstheme="minorHAnsi"/>
          <w:sz w:val="24"/>
          <w:szCs w:val="24"/>
        </w:rPr>
        <w:t>)</w:t>
      </w:r>
      <w:r w:rsidR="00D96A75" w:rsidRPr="005C6D34">
        <w:rPr>
          <w:rFonts w:cstheme="minorHAnsi"/>
          <w:sz w:val="24"/>
          <w:szCs w:val="24"/>
        </w:rPr>
        <w:t>.</w:t>
      </w:r>
      <w:r w:rsidR="00826F53" w:rsidRPr="005C6D34">
        <w:rPr>
          <w:rFonts w:cstheme="minorHAnsi"/>
          <w:sz w:val="24"/>
          <w:szCs w:val="24"/>
        </w:rPr>
        <w:t xml:space="preserve"> </w:t>
      </w:r>
      <w:r w:rsidR="00D96A75" w:rsidRPr="005C6D34">
        <w:rPr>
          <w:rFonts w:cstheme="minorHAnsi"/>
          <w:sz w:val="24"/>
          <w:szCs w:val="24"/>
        </w:rPr>
        <w:t xml:space="preserve">Xenos, </w:t>
      </w:r>
      <w:proofErr w:type="spellStart"/>
      <w:r w:rsidR="00D96A75" w:rsidRPr="005C6D34">
        <w:rPr>
          <w:rFonts w:cstheme="minorHAnsi"/>
          <w:sz w:val="24"/>
          <w:szCs w:val="24"/>
        </w:rPr>
        <w:t>Vromen</w:t>
      </w:r>
      <w:proofErr w:type="spellEnd"/>
      <w:r w:rsidR="00D96A75" w:rsidRPr="005C6D34">
        <w:rPr>
          <w:rFonts w:cstheme="minorHAnsi"/>
          <w:sz w:val="24"/>
          <w:szCs w:val="24"/>
        </w:rPr>
        <w:t xml:space="preserve">, &amp; Loader (2014), in their study of three advanced democracies </w:t>
      </w:r>
      <w:r w:rsidRPr="005C6D34">
        <w:rPr>
          <w:rFonts w:cstheme="minorHAnsi"/>
          <w:sz w:val="24"/>
          <w:szCs w:val="24"/>
        </w:rPr>
        <w:t>–</w:t>
      </w:r>
      <w:r w:rsidR="00D96A75" w:rsidRPr="005C6D34">
        <w:rPr>
          <w:rFonts w:cstheme="minorHAnsi"/>
          <w:sz w:val="24"/>
          <w:szCs w:val="24"/>
        </w:rPr>
        <w:t xml:space="preserve"> Australia, the USA </w:t>
      </w:r>
      <w:r w:rsidR="00021A7C" w:rsidRPr="005C6D34">
        <w:rPr>
          <w:rFonts w:cstheme="minorHAnsi"/>
          <w:sz w:val="24"/>
          <w:szCs w:val="24"/>
        </w:rPr>
        <w:t>and</w:t>
      </w:r>
      <w:r w:rsidR="00D96A75" w:rsidRPr="005C6D34">
        <w:rPr>
          <w:rFonts w:cstheme="minorHAnsi"/>
          <w:sz w:val="24"/>
          <w:szCs w:val="24"/>
        </w:rPr>
        <w:t xml:space="preserve"> the U</w:t>
      </w:r>
      <w:r w:rsidR="00237BE4" w:rsidRPr="005C6D34">
        <w:rPr>
          <w:rFonts w:cstheme="minorHAnsi"/>
          <w:sz w:val="24"/>
          <w:szCs w:val="24"/>
        </w:rPr>
        <w:t>K</w:t>
      </w:r>
      <w:r w:rsidRPr="005C6D34">
        <w:rPr>
          <w:rFonts w:cstheme="minorHAnsi"/>
          <w:sz w:val="24"/>
          <w:szCs w:val="24"/>
        </w:rPr>
        <w:t xml:space="preserve"> – </w:t>
      </w:r>
      <w:r w:rsidR="00D96A75" w:rsidRPr="005C6D34">
        <w:rPr>
          <w:rFonts w:cstheme="minorHAnsi"/>
          <w:sz w:val="24"/>
          <w:szCs w:val="24"/>
        </w:rPr>
        <w:t xml:space="preserve">found a significant relationship between involvement in digital space </w:t>
      </w:r>
      <w:r w:rsidR="00021A7C" w:rsidRPr="005C6D34">
        <w:rPr>
          <w:rFonts w:cstheme="minorHAnsi"/>
          <w:sz w:val="24"/>
          <w:szCs w:val="24"/>
        </w:rPr>
        <w:t>and</w:t>
      </w:r>
      <w:r w:rsidR="00D96A75" w:rsidRPr="005C6D34">
        <w:rPr>
          <w:rFonts w:cstheme="minorHAnsi"/>
          <w:sz w:val="24"/>
          <w:szCs w:val="24"/>
        </w:rPr>
        <w:t xml:space="preserve"> political engagement. They found that social media br</w:t>
      </w:r>
      <w:r w:rsidRPr="005C6D34">
        <w:rPr>
          <w:rFonts w:cstheme="minorHAnsi"/>
          <w:sz w:val="24"/>
          <w:szCs w:val="24"/>
        </w:rPr>
        <w:t>ought</w:t>
      </w:r>
      <w:r w:rsidR="00D96A75" w:rsidRPr="005C6D34">
        <w:rPr>
          <w:rFonts w:cstheme="minorHAnsi"/>
          <w:sz w:val="24"/>
          <w:szCs w:val="24"/>
        </w:rPr>
        <w:t xml:space="preserve"> young people closer to political engagement in advanced democracies.</w:t>
      </w:r>
    </w:p>
    <w:p w14:paraId="7BF6D60E" w14:textId="15FDABCF" w:rsidR="00D96A75" w:rsidRPr="005C6D34" w:rsidRDefault="00D96A75" w:rsidP="000A687F">
      <w:pPr>
        <w:spacing w:line="360" w:lineRule="auto"/>
        <w:jc w:val="both"/>
        <w:rPr>
          <w:rFonts w:cstheme="minorHAnsi"/>
          <w:sz w:val="24"/>
          <w:szCs w:val="24"/>
        </w:rPr>
      </w:pPr>
      <w:r w:rsidRPr="005C6D34">
        <w:rPr>
          <w:rFonts w:cstheme="minorHAnsi"/>
          <w:sz w:val="24"/>
          <w:szCs w:val="24"/>
        </w:rPr>
        <w:t>Lee (2020) note</w:t>
      </w:r>
      <w:r w:rsidR="00407AF2" w:rsidRPr="005C6D34">
        <w:rPr>
          <w:rFonts w:cstheme="minorHAnsi"/>
          <w:sz w:val="24"/>
          <w:szCs w:val="24"/>
        </w:rPr>
        <w:t xml:space="preserve">d </w:t>
      </w:r>
      <w:r w:rsidRPr="005C6D34">
        <w:rPr>
          <w:rFonts w:cstheme="minorHAnsi"/>
          <w:sz w:val="24"/>
          <w:szCs w:val="24"/>
        </w:rPr>
        <w:t>that the determinants of social network site usage in terms of the need to belong</w:t>
      </w:r>
      <w:r w:rsidR="00AB7011" w:rsidRPr="005C6D34">
        <w:rPr>
          <w:rFonts w:cstheme="minorHAnsi"/>
          <w:sz w:val="24"/>
          <w:szCs w:val="24"/>
        </w:rPr>
        <w:t>,</w:t>
      </w:r>
      <w:r w:rsidR="00BE48F9" w:rsidRPr="005C6D34">
        <w:rPr>
          <w:rFonts w:cstheme="minorHAnsi"/>
          <w:sz w:val="24"/>
          <w:szCs w:val="24"/>
        </w:rPr>
        <w:t xml:space="preserve"> perceived ease of us</w:t>
      </w:r>
      <w:r w:rsidR="00407AF2" w:rsidRPr="005C6D34">
        <w:rPr>
          <w:rFonts w:cstheme="minorHAnsi"/>
          <w:sz w:val="24"/>
          <w:szCs w:val="24"/>
        </w:rPr>
        <w:t>e</w:t>
      </w:r>
      <w:r w:rsidR="00370D34" w:rsidRPr="005C6D34">
        <w:rPr>
          <w:rFonts w:cstheme="minorHAnsi"/>
          <w:sz w:val="24"/>
          <w:szCs w:val="24"/>
        </w:rPr>
        <w:t>,</w:t>
      </w:r>
      <w:r w:rsidR="00BE48F9" w:rsidRPr="005C6D34">
        <w:rPr>
          <w:rFonts w:cstheme="minorHAnsi"/>
          <w:sz w:val="24"/>
          <w:szCs w:val="24"/>
        </w:rPr>
        <w:t xml:space="preserve"> </w:t>
      </w:r>
      <w:r w:rsidR="00D314B3" w:rsidRPr="005C6D34">
        <w:rPr>
          <w:rFonts w:cstheme="minorHAnsi"/>
          <w:sz w:val="24"/>
          <w:szCs w:val="24"/>
        </w:rPr>
        <w:t>and</w:t>
      </w:r>
      <w:r w:rsidR="00BE48F9" w:rsidRPr="005C6D34">
        <w:rPr>
          <w:rFonts w:cstheme="minorHAnsi"/>
          <w:sz w:val="24"/>
          <w:szCs w:val="24"/>
        </w:rPr>
        <w:t xml:space="preserve"> perceived socio</w:t>
      </w:r>
      <w:r w:rsidR="00D314B3" w:rsidRPr="005C6D34">
        <w:rPr>
          <w:rFonts w:cstheme="minorHAnsi"/>
          <w:sz w:val="24"/>
          <w:szCs w:val="24"/>
        </w:rPr>
        <w:t>-</w:t>
      </w:r>
      <w:r w:rsidR="00BE48F9" w:rsidRPr="005C6D34">
        <w:rPr>
          <w:rFonts w:cstheme="minorHAnsi"/>
          <w:sz w:val="24"/>
          <w:szCs w:val="24"/>
        </w:rPr>
        <w:t>economic factors positively impact</w:t>
      </w:r>
      <w:r w:rsidR="00407AF2" w:rsidRPr="005C6D34">
        <w:rPr>
          <w:rFonts w:cstheme="minorHAnsi"/>
          <w:sz w:val="24"/>
          <w:szCs w:val="24"/>
        </w:rPr>
        <w:t>ed</w:t>
      </w:r>
      <w:r w:rsidRPr="005C6D34">
        <w:rPr>
          <w:rFonts w:cstheme="minorHAnsi"/>
          <w:sz w:val="24"/>
          <w:szCs w:val="24"/>
        </w:rPr>
        <w:t xml:space="preserve"> voter involvement with politics</w:t>
      </w:r>
      <w:r w:rsidR="00407AF2" w:rsidRPr="005C6D34">
        <w:rPr>
          <w:rFonts w:cstheme="minorHAnsi"/>
          <w:sz w:val="24"/>
          <w:szCs w:val="24"/>
        </w:rPr>
        <w:t>. This</w:t>
      </w:r>
      <w:r w:rsidRPr="005C6D34">
        <w:rPr>
          <w:rFonts w:cstheme="minorHAnsi"/>
          <w:sz w:val="24"/>
          <w:szCs w:val="24"/>
        </w:rPr>
        <w:t xml:space="preserve"> further affect</w:t>
      </w:r>
      <w:r w:rsidR="00407AF2" w:rsidRPr="005C6D34">
        <w:rPr>
          <w:rFonts w:cstheme="minorHAnsi"/>
          <w:sz w:val="24"/>
          <w:szCs w:val="24"/>
        </w:rPr>
        <w:t>ed</w:t>
      </w:r>
      <w:r w:rsidRPr="005C6D34">
        <w:rPr>
          <w:rFonts w:cstheme="minorHAnsi"/>
          <w:sz w:val="24"/>
          <w:szCs w:val="24"/>
        </w:rPr>
        <w:t xml:space="preserve"> voter </w:t>
      </w:r>
      <w:r w:rsidR="00BE48F9" w:rsidRPr="005C6D34">
        <w:rPr>
          <w:rFonts w:cstheme="minorHAnsi"/>
          <w:sz w:val="24"/>
          <w:szCs w:val="24"/>
        </w:rPr>
        <w:t>attitudes</w:t>
      </w:r>
      <w:r w:rsidRPr="005C6D34">
        <w:rPr>
          <w:rFonts w:cstheme="minorHAnsi"/>
          <w:sz w:val="24"/>
          <w:szCs w:val="24"/>
        </w:rPr>
        <w:t xml:space="preserve"> toward voting </w:t>
      </w:r>
      <w:r w:rsidR="00D314B3" w:rsidRPr="005C6D34">
        <w:rPr>
          <w:rFonts w:cstheme="minorHAnsi"/>
          <w:sz w:val="24"/>
          <w:szCs w:val="24"/>
        </w:rPr>
        <w:t>and</w:t>
      </w:r>
      <w:r w:rsidRPr="005C6D34">
        <w:rPr>
          <w:rFonts w:cstheme="minorHAnsi"/>
          <w:sz w:val="24"/>
          <w:szCs w:val="24"/>
        </w:rPr>
        <w:t xml:space="preserve"> confidence </w:t>
      </w:r>
      <w:r w:rsidR="00BE48F9" w:rsidRPr="005C6D34">
        <w:rPr>
          <w:rFonts w:cstheme="minorHAnsi"/>
          <w:sz w:val="24"/>
          <w:szCs w:val="24"/>
        </w:rPr>
        <w:t>in</w:t>
      </w:r>
      <w:r w:rsidRPr="005C6D34">
        <w:rPr>
          <w:rFonts w:cstheme="minorHAnsi"/>
          <w:sz w:val="24"/>
          <w:szCs w:val="24"/>
        </w:rPr>
        <w:t xml:space="preserve"> </w:t>
      </w:r>
      <w:r w:rsidR="00407AF2" w:rsidRPr="005C6D34">
        <w:rPr>
          <w:rFonts w:cstheme="minorHAnsi"/>
          <w:sz w:val="24"/>
          <w:szCs w:val="24"/>
        </w:rPr>
        <w:t xml:space="preserve">their </w:t>
      </w:r>
      <w:r w:rsidRPr="005C6D34">
        <w:rPr>
          <w:rFonts w:cstheme="minorHAnsi"/>
          <w:sz w:val="24"/>
          <w:szCs w:val="24"/>
        </w:rPr>
        <w:t xml:space="preserve">decisions. Xenos et al. (2014) </w:t>
      </w:r>
      <w:r w:rsidR="00D314B3" w:rsidRPr="005C6D34">
        <w:rPr>
          <w:rFonts w:cstheme="minorHAnsi"/>
          <w:sz w:val="24"/>
          <w:szCs w:val="24"/>
        </w:rPr>
        <w:t>and</w:t>
      </w:r>
      <w:r w:rsidRPr="005C6D34">
        <w:rPr>
          <w:rFonts w:cstheme="minorHAnsi"/>
          <w:sz w:val="24"/>
          <w:szCs w:val="24"/>
        </w:rPr>
        <w:t xml:space="preserve"> Lee (2020) found direct links between digital space </w:t>
      </w:r>
      <w:r w:rsidR="00D314B3" w:rsidRPr="005C6D34">
        <w:rPr>
          <w:rFonts w:cstheme="minorHAnsi"/>
          <w:sz w:val="24"/>
          <w:szCs w:val="24"/>
        </w:rPr>
        <w:t>and</w:t>
      </w:r>
      <w:r w:rsidRPr="005C6D34">
        <w:rPr>
          <w:rFonts w:cstheme="minorHAnsi"/>
          <w:sz w:val="24"/>
          <w:szCs w:val="24"/>
        </w:rPr>
        <w:t xml:space="preserve"> voter behaviour</w:t>
      </w:r>
      <w:r w:rsidR="00A62671" w:rsidRPr="005C6D34">
        <w:rPr>
          <w:rFonts w:cstheme="minorHAnsi"/>
          <w:sz w:val="24"/>
          <w:szCs w:val="24"/>
        </w:rPr>
        <w:t xml:space="preserve">. However, </w:t>
      </w:r>
      <w:proofErr w:type="spellStart"/>
      <w:r w:rsidRPr="005C6D34">
        <w:rPr>
          <w:rFonts w:cstheme="minorHAnsi"/>
          <w:sz w:val="24"/>
          <w:szCs w:val="24"/>
        </w:rPr>
        <w:t>Hargittai</w:t>
      </w:r>
      <w:proofErr w:type="spellEnd"/>
      <w:r w:rsidRPr="005C6D34">
        <w:rPr>
          <w:rFonts w:cstheme="minorHAnsi"/>
          <w:sz w:val="24"/>
          <w:szCs w:val="24"/>
        </w:rPr>
        <w:t xml:space="preserve"> &amp; Shaw (2013) found no evidence that young people</w:t>
      </w:r>
      <w:r w:rsidR="00A03141" w:rsidRPr="005C6D34">
        <w:rPr>
          <w:rFonts w:cstheme="minorHAnsi"/>
          <w:sz w:val="24"/>
          <w:szCs w:val="24"/>
        </w:rPr>
        <w:t>’</w:t>
      </w:r>
      <w:r w:rsidRPr="005C6D34">
        <w:rPr>
          <w:rFonts w:cstheme="minorHAnsi"/>
          <w:sz w:val="24"/>
          <w:szCs w:val="24"/>
        </w:rPr>
        <w:t xml:space="preserve">s usage of social media networks </w:t>
      </w:r>
      <w:r w:rsidR="00D314B3" w:rsidRPr="005C6D34">
        <w:rPr>
          <w:rFonts w:cstheme="minorHAnsi"/>
          <w:sz w:val="24"/>
          <w:szCs w:val="24"/>
        </w:rPr>
        <w:t>affected</w:t>
      </w:r>
      <w:r w:rsidRPr="005C6D34">
        <w:rPr>
          <w:rFonts w:cstheme="minorHAnsi"/>
          <w:sz w:val="24"/>
          <w:szCs w:val="24"/>
        </w:rPr>
        <w:t xml:space="preserve"> their voting behaviour during the 2008 U</w:t>
      </w:r>
      <w:r w:rsidR="00237BE4" w:rsidRPr="005C6D34">
        <w:rPr>
          <w:rFonts w:cstheme="minorHAnsi"/>
          <w:sz w:val="24"/>
          <w:szCs w:val="24"/>
        </w:rPr>
        <w:t>S</w:t>
      </w:r>
      <w:r w:rsidRPr="005C6D34">
        <w:rPr>
          <w:rFonts w:cstheme="minorHAnsi"/>
          <w:sz w:val="24"/>
          <w:szCs w:val="24"/>
        </w:rPr>
        <w:t xml:space="preserve"> presidential election. They found nothing to suggest that</w:t>
      </w:r>
      <w:r w:rsidR="007F435E" w:rsidRPr="005C6D34">
        <w:rPr>
          <w:rFonts w:cstheme="minorHAnsi"/>
          <w:sz w:val="24"/>
          <w:szCs w:val="24"/>
        </w:rPr>
        <w:t xml:space="preserve"> the </w:t>
      </w:r>
      <w:r w:rsidRPr="005C6D34">
        <w:rPr>
          <w:rFonts w:cstheme="minorHAnsi"/>
          <w:sz w:val="24"/>
          <w:szCs w:val="24"/>
        </w:rPr>
        <w:t xml:space="preserve">young people </w:t>
      </w:r>
      <w:r w:rsidR="007F435E" w:rsidRPr="005C6D34">
        <w:rPr>
          <w:rFonts w:cstheme="minorHAnsi"/>
          <w:sz w:val="24"/>
          <w:szCs w:val="24"/>
        </w:rPr>
        <w:t xml:space="preserve">who engaged with </w:t>
      </w:r>
      <w:r w:rsidRPr="005C6D34">
        <w:rPr>
          <w:rFonts w:cstheme="minorHAnsi"/>
          <w:sz w:val="24"/>
          <w:szCs w:val="24"/>
        </w:rPr>
        <w:t>social media networks participate</w:t>
      </w:r>
      <w:r w:rsidR="007F435E" w:rsidRPr="005C6D34">
        <w:rPr>
          <w:rFonts w:cstheme="minorHAnsi"/>
          <w:sz w:val="24"/>
          <w:szCs w:val="24"/>
        </w:rPr>
        <w:t>d</w:t>
      </w:r>
      <w:r w:rsidRPr="005C6D34">
        <w:rPr>
          <w:rFonts w:cstheme="minorHAnsi"/>
          <w:sz w:val="24"/>
          <w:szCs w:val="24"/>
        </w:rPr>
        <w:t xml:space="preserve"> more than their counterparts who d</w:t>
      </w:r>
      <w:r w:rsidR="007F435E" w:rsidRPr="005C6D34">
        <w:rPr>
          <w:rFonts w:cstheme="minorHAnsi"/>
          <w:sz w:val="24"/>
          <w:szCs w:val="24"/>
        </w:rPr>
        <w:t>id</w:t>
      </w:r>
      <w:r w:rsidRPr="005C6D34">
        <w:rPr>
          <w:rFonts w:cstheme="minorHAnsi"/>
          <w:sz w:val="24"/>
          <w:szCs w:val="24"/>
        </w:rPr>
        <w:t xml:space="preserve"> not.</w:t>
      </w:r>
      <w:r w:rsidR="003263A0" w:rsidRPr="005C6D34">
        <w:rPr>
          <w:rFonts w:cstheme="minorHAnsi"/>
          <w:sz w:val="24"/>
          <w:szCs w:val="24"/>
        </w:rPr>
        <w:t xml:space="preserve"> There have been few attempts to conduct </w:t>
      </w:r>
      <w:r w:rsidR="007F435E" w:rsidRPr="005C6D34">
        <w:rPr>
          <w:rFonts w:cstheme="minorHAnsi"/>
          <w:sz w:val="24"/>
          <w:szCs w:val="24"/>
        </w:rPr>
        <w:t xml:space="preserve">such </w:t>
      </w:r>
      <w:r w:rsidR="003263A0" w:rsidRPr="005C6D34">
        <w:rPr>
          <w:rFonts w:cstheme="minorHAnsi"/>
          <w:sz w:val="24"/>
          <w:szCs w:val="24"/>
        </w:rPr>
        <w:t xml:space="preserve">studies in Africa </w:t>
      </w:r>
      <w:r w:rsidR="00D314B3" w:rsidRPr="005C6D34">
        <w:rPr>
          <w:rFonts w:cstheme="minorHAnsi"/>
          <w:sz w:val="24"/>
          <w:szCs w:val="24"/>
        </w:rPr>
        <w:t>and</w:t>
      </w:r>
      <w:r w:rsidR="003263A0" w:rsidRPr="005C6D34">
        <w:rPr>
          <w:rFonts w:cstheme="minorHAnsi"/>
          <w:sz w:val="24"/>
          <w:szCs w:val="24"/>
        </w:rPr>
        <w:t xml:space="preserve"> Asia. </w:t>
      </w:r>
      <w:r w:rsidR="0000771C" w:rsidRPr="005C6D34">
        <w:rPr>
          <w:rFonts w:cstheme="minorHAnsi"/>
          <w:sz w:val="24"/>
          <w:szCs w:val="24"/>
        </w:rPr>
        <w:t xml:space="preserve">No </w:t>
      </w:r>
      <w:r w:rsidR="00370D34" w:rsidRPr="005C6D34">
        <w:rPr>
          <w:rFonts w:cstheme="minorHAnsi"/>
          <w:sz w:val="24"/>
          <w:szCs w:val="24"/>
        </w:rPr>
        <w:t>comprehensive</w:t>
      </w:r>
      <w:r w:rsidR="0000771C" w:rsidRPr="005C6D34">
        <w:rPr>
          <w:rFonts w:cstheme="minorHAnsi"/>
          <w:sz w:val="24"/>
          <w:szCs w:val="24"/>
        </w:rPr>
        <w:t xml:space="preserve">, elaborate studies have </w:t>
      </w:r>
      <w:r w:rsidR="0000771C" w:rsidRPr="005C6D34">
        <w:rPr>
          <w:rFonts w:cstheme="minorHAnsi"/>
          <w:sz w:val="24"/>
          <w:szCs w:val="24"/>
        </w:rPr>
        <w:lastRenderedPageBreak/>
        <w:t>been</w:t>
      </w:r>
      <w:r w:rsidR="003263A0" w:rsidRPr="005C6D34">
        <w:rPr>
          <w:rFonts w:cstheme="minorHAnsi"/>
          <w:sz w:val="24"/>
          <w:szCs w:val="24"/>
        </w:rPr>
        <w:t xml:space="preserve"> conducted on </w:t>
      </w:r>
      <w:r w:rsidR="007F435E" w:rsidRPr="005C6D34">
        <w:rPr>
          <w:rFonts w:cstheme="minorHAnsi"/>
          <w:sz w:val="24"/>
          <w:szCs w:val="24"/>
        </w:rPr>
        <w:t xml:space="preserve">the influence of </w:t>
      </w:r>
      <w:r w:rsidR="003263A0" w:rsidRPr="005C6D34">
        <w:rPr>
          <w:rFonts w:cstheme="minorHAnsi"/>
          <w:sz w:val="24"/>
          <w:szCs w:val="24"/>
        </w:rPr>
        <w:t>socio</w:t>
      </w:r>
      <w:r w:rsidR="007F435E" w:rsidRPr="005C6D34">
        <w:rPr>
          <w:rFonts w:cstheme="minorHAnsi"/>
          <w:sz w:val="24"/>
          <w:szCs w:val="24"/>
        </w:rPr>
        <w:t>-</w:t>
      </w:r>
      <w:r w:rsidR="003263A0" w:rsidRPr="005C6D34">
        <w:rPr>
          <w:rFonts w:cstheme="minorHAnsi"/>
          <w:sz w:val="24"/>
          <w:szCs w:val="24"/>
        </w:rPr>
        <w:t xml:space="preserve">economic factors </w:t>
      </w:r>
      <w:r w:rsidR="007F435E" w:rsidRPr="005C6D34">
        <w:rPr>
          <w:rFonts w:cstheme="minorHAnsi"/>
          <w:sz w:val="24"/>
          <w:szCs w:val="24"/>
        </w:rPr>
        <w:t xml:space="preserve">on </w:t>
      </w:r>
      <w:r w:rsidR="003263A0" w:rsidRPr="005C6D34">
        <w:rPr>
          <w:rFonts w:cstheme="minorHAnsi"/>
          <w:sz w:val="24"/>
          <w:szCs w:val="24"/>
        </w:rPr>
        <w:t>voter behaviour at Nigeria</w:t>
      </w:r>
      <w:r w:rsidR="00A03141" w:rsidRPr="005C6D34">
        <w:rPr>
          <w:rFonts w:cstheme="minorHAnsi"/>
          <w:sz w:val="24"/>
          <w:szCs w:val="24"/>
        </w:rPr>
        <w:t>’</w:t>
      </w:r>
      <w:r w:rsidR="003263A0" w:rsidRPr="005C6D34">
        <w:rPr>
          <w:rFonts w:cstheme="minorHAnsi"/>
          <w:sz w:val="24"/>
          <w:szCs w:val="24"/>
        </w:rPr>
        <w:t>s sub</w:t>
      </w:r>
      <w:r w:rsidR="007F435E" w:rsidRPr="005C6D34">
        <w:rPr>
          <w:rFonts w:cstheme="minorHAnsi"/>
          <w:sz w:val="24"/>
          <w:szCs w:val="24"/>
        </w:rPr>
        <w:t>-</w:t>
      </w:r>
      <w:r w:rsidR="003263A0" w:rsidRPr="005C6D34">
        <w:rPr>
          <w:rFonts w:cstheme="minorHAnsi"/>
          <w:sz w:val="24"/>
          <w:szCs w:val="24"/>
        </w:rPr>
        <w:t>national level.</w:t>
      </w:r>
    </w:p>
    <w:p w14:paraId="2A9905E1" w14:textId="5C908152" w:rsidR="2860C9CF" w:rsidRPr="005C6D34" w:rsidRDefault="2860C9CF" w:rsidP="00CE6A20">
      <w:pPr>
        <w:pStyle w:val="ListParagraph"/>
        <w:numPr>
          <w:ilvl w:val="0"/>
          <w:numId w:val="5"/>
        </w:numPr>
        <w:spacing w:after="0" w:line="360" w:lineRule="auto"/>
        <w:jc w:val="both"/>
        <w:rPr>
          <w:rFonts w:cstheme="minorHAnsi"/>
          <w:b/>
          <w:bCs/>
          <w:sz w:val="24"/>
          <w:szCs w:val="24"/>
        </w:rPr>
      </w:pPr>
      <w:r w:rsidRPr="005C6D34">
        <w:rPr>
          <w:rFonts w:cstheme="minorHAnsi"/>
          <w:b/>
          <w:bCs/>
          <w:sz w:val="24"/>
          <w:szCs w:val="24"/>
        </w:rPr>
        <w:t>Methodology</w:t>
      </w:r>
      <w:r w:rsidR="002B7EB0" w:rsidRPr="005C6D34">
        <w:rPr>
          <w:rFonts w:cstheme="minorHAnsi"/>
          <w:b/>
          <w:bCs/>
          <w:sz w:val="24"/>
          <w:szCs w:val="24"/>
        </w:rPr>
        <w:t xml:space="preserve"> </w:t>
      </w:r>
      <w:r w:rsidR="00D314B3" w:rsidRPr="005C6D34">
        <w:rPr>
          <w:rFonts w:cstheme="minorHAnsi"/>
          <w:b/>
          <w:bCs/>
          <w:sz w:val="24"/>
          <w:szCs w:val="24"/>
        </w:rPr>
        <w:t>and</w:t>
      </w:r>
      <w:r w:rsidR="002B7EB0" w:rsidRPr="005C6D34">
        <w:rPr>
          <w:rFonts w:cstheme="minorHAnsi"/>
          <w:b/>
          <w:bCs/>
          <w:sz w:val="24"/>
          <w:szCs w:val="24"/>
        </w:rPr>
        <w:t xml:space="preserve"> Data Sources</w:t>
      </w:r>
    </w:p>
    <w:p w14:paraId="52931D22" w14:textId="77777777" w:rsidR="00242CEC" w:rsidRPr="005C6D34" w:rsidRDefault="002F09EF" w:rsidP="000A687F">
      <w:pPr>
        <w:spacing w:after="160" w:line="360" w:lineRule="auto"/>
        <w:jc w:val="both"/>
        <w:rPr>
          <w:rFonts w:eastAsia="Calibri" w:cstheme="minorHAnsi"/>
          <w:sz w:val="24"/>
          <w:szCs w:val="24"/>
        </w:rPr>
      </w:pPr>
      <w:r w:rsidRPr="005C6D34">
        <w:rPr>
          <w:rFonts w:eastAsia="Calibri" w:cstheme="minorHAnsi"/>
          <w:sz w:val="24"/>
          <w:szCs w:val="24"/>
        </w:rPr>
        <w:t>We used</w:t>
      </w:r>
      <w:r w:rsidR="007F435E" w:rsidRPr="005C6D34">
        <w:rPr>
          <w:rFonts w:eastAsia="Calibri" w:cstheme="minorHAnsi"/>
          <w:sz w:val="24"/>
          <w:szCs w:val="24"/>
        </w:rPr>
        <w:t xml:space="preserve"> </w:t>
      </w:r>
      <w:r w:rsidR="009B0AEB" w:rsidRPr="005C6D34">
        <w:rPr>
          <w:rFonts w:eastAsia="Calibri" w:cstheme="minorHAnsi"/>
          <w:sz w:val="24"/>
          <w:szCs w:val="24"/>
        </w:rPr>
        <w:t xml:space="preserve">descriptive </w:t>
      </w:r>
      <w:r w:rsidR="00D314B3" w:rsidRPr="005C6D34">
        <w:rPr>
          <w:rFonts w:eastAsia="Calibri" w:cstheme="minorHAnsi"/>
          <w:sz w:val="24"/>
          <w:szCs w:val="24"/>
        </w:rPr>
        <w:t>and</w:t>
      </w:r>
      <w:r w:rsidR="009B0AEB" w:rsidRPr="005C6D34">
        <w:rPr>
          <w:rFonts w:eastAsia="Calibri" w:cstheme="minorHAnsi"/>
          <w:sz w:val="24"/>
          <w:szCs w:val="24"/>
        </w:rPr>
        <w:t xml:space="preserve"> inferential data analysis. </w:t>
      </w:r>
      <w:r w:rsidRPr="005C6D34">
        <w:rPr>
          <w:rFonts w:eastAsia="Calibri" w:cstheme="minorHAnsi"/>
          <w:sz w:val="24"/>
          <w:szCs w:val="24"/>
        </w:rPr>
        <w:t>We used</w:t>
      </w:r>
      <w:r w:rsidR="007F435E" w:rsidRPr="005C6D34">
        <w:rPr>
          <w:rFonts w:eastAsia="Calibri" w:cstheme="minorHAnsi"/>
          <w:sz w:val="24"/>
          <w:szCs w:val="24"/>
        </w:rPr>
        <w:t xml:space="preserve"> </w:t>
      </w:r>
      <w:r w:rsidR="009B0AEB" w:rsidRPr="005C6D34">
        <w:rPr>
          <w:rFonts w:eastAsia="Calibri" w:cstheme="minorHAnsi"/>
          <w:sz w:val="24"/>
          <w:szCs w:val="24"/>
        </w:rPr>
        <w:t>inferential data analysis to make generalisations. This include</w:t>
      </w:r>
      <w:r w:rsidRPr="005C6D34">
        <w:rPr>
          <w:rFonts w:eastAsia="Calibri" w:cstheme="minorHAnsi"/>
          <w:sz w:val="24"/>
          <w:szCs w:val="24"/>
        </w:rPr>
        <w:t>d</w:t>
      </w:r>
      <w:r w:rsidR="009B0AEB" w:rsidRPr="005C6D34">
        <w:rPr>
          <w:rFonts w:eastAsia="Calibri" w:cstheme="minorHAnsi"/>
          <w:sz w:val="24"/>
          <w:szCs w:val="24"/>
        </w:rPr>
        <w:t xml:space="preserve"> employing the ordinary least square (OLS) regression model, analysis of variance (ANOVA)</w:t>
      </w:r>
      <w:r w:rsidR="005F330A" w:rsidRPr="005C6D34">
        <w:rPr>
          <w:rFonts w:eastAsia="Calibri" w:cstheme="minorHAnsi"/>
          <w:sz w:val="24"/>
          <w:szCs w:val="24"/>
        </w:rPr>
        <w:t>, KMO Bartlett Test and Commonality analysis</w:t>
      </w:r>
      <w:r w:rsidR="009B0AEB" w:rsidRPr="005C6D34">
        <w:rPr>
          <w:rFonts w:eastAsia="Calibri" w:cstheme="minorHAnsi"/>
          <w:sz w:val="24"/>
          <w:szCs w:val="24"/>
        </w:rPr>
        <w:t xml:space="preserve">. </w:t>
      </w:r>
    </w:p>
    <w:p w14:paraId="4E71FCE7" w14:textId="0C707DB4" w:rsidR="009B0AEB" w:rsidRPr="005C6D34" w:rsidRDefault="00401EA2" w:rsidP="000A687F">
      <w:pPr>
        <w:spacing w:after="160" w:line="360" w:lineRule="auto"/>
        <w:jc w:val="both"/>
        <w:rPr>
          <w:rFonts w:eastAsia="Calibri" w:cstheme="minorHAnsi"/>
          <w:sz w:val="24"/>
          <w:szCs w:val="24"/>
        </w:rPr>
      </w:pPr>
      <w:r w:rsidRPr="005C6D34">
        <w:rPr>
          <w:rFonts w:eastAsia="Calibri" w:cstheme="minorHAnsi"/>
          <w:sz w:val="24"/>
          <w:szCs w:val="24"/>
        </w:rPr>
        <w:t>The</w:t>
      </w:r>
      <w:r w:rsidR="009B0AEB" w:rsidRPr="005C6D34">
        <w:rPr>
          <w:rFonts w:eastAsia="Calibri" w:cstheme="minorHAnsi"/>
          <w:sz w:val="24"/>
          <w:szCs w:val="24"/>
        </w:rPr>
        <w:t xml:space="preserve"> OLS regression</w:t>
      </w:r>
      <w:r w:rsidRPr="005C6D34">
        <w:rPr>
          <w:rFonts w:eastAsia="Calibri" w:cstheme="minorHAnsi"/>
          <w:sz w:val="24"/>
          <w:szCs w:val="24"/>
        </w:rPr>
        <w:t xml:space="preserve"> provide</w:t>
      </w:r>
      <w:r w:rsidR="002F09EF" w:rsidRPr="005C6D34">
        <w:rPr>
          <w:rFonts w:eastAsia="Calibri" w:cstheme="minorHAnsi"/>
          <w:sz w:val="24"/>
          <w:szCs w:val="24"/>
        </w:rPr>
        <w:t>d</w:t>
      </w:r>
      <w:r w:rsidRPr="005C6D34">
        <w:rPr>
          <w:rFonts w:eastAsia="Calibri" w:cstheme="minorHAnsi"/>
          <w:sz w:val="24"/>
          <w:szCs w:val="24"/>
        </w:rPr>
        <w:t xml:space="preserve"> the </w:t>
      </w:r>
      <w:r w:rsidR="00AA7057" w:rsidRPr="005C6D34">
        <w:rPr>
          <w:rFonts w:eastAsia="Calibri" w:cstheme="minorHAnsi"/>
          <w:sz w:val="24"/>
          <w:szCs w:val="24"/>
        </w:rPr>
        <w:t>grounds to</w:t>
      </w:r>
      <w:r w:rsidR="009B0AEB" w:rsidRPr="005C6D34">
        <w:rPr>
          <w:rFonts w:eastAsia="Calibri" w:cstheme="minorHAnsi"/>
          <w:sz w:val="24"/>
          <w:szCs w:val="24"/>
        </w:rPr>
        <w:t xml:space="preserve"> make </w:t>
      </w:r>
      <w:r w:rsidR="00E520FA" w:rsidRPr="005C6D34">
        <w:rPr>
          <w:rFonts w:eastAsia="Calibri" w:cstheme="minorHAnsi"/>
          <w:sz w:val="24"/>
          <w:szCs w:val="24"/>
        </w:rPr>
        <w:t xml:space="preserve">impartial </w:t>
      </w:r>
      <w:r w:rsidR="00D314B3" w:rsidRPr="005C6D34">
        <w:rPr>
          <w:rFonts w:eastAsia="Calibri" w:cstheme="minorHAnsi"/>
          <w:sz w:val="24"/>
          <w:szCs w:val="24"/>
        </w:rPr>
        <w:t>and</w:t>
      </w:r>
      <w:r w:rsidR="00E520FA" w:rsidRPr="005C6D34">
        <w:rPr>
          <w:rFonts w:eastAsia="Calibri" w:cstheme="minorHAnsi"/>
          <w:sz w:val="24"/>
          <w:szCs w:val="24"/>
        </w:rPr>
        <w:t xml:space="preserve"> exact generalisations</w:t>
      </w:r>
      <w:r w:rsidR="009B0AEB" w:rsidRPr="005C6D34">
        <w:rPr>
          <w:rFonts w:eastAsia="Calibri" w:cstheme="minorHAnsi"/>
          <w:sz w:val="24"/>
          <w:szCs w:val="24"/>
        </w:rPr>
        <w:t xml:space="preserve">. </w:t>
      </w:r>
      <w:r w:rsidR="002F09EF" w:rsidRPr="005C6D34">
        <w:rPr>
          <w:rFonts w:eastAsia="Calibri" w:cstheme="minorHAnsi"/>
          <w:sz w:val="24"/>
          <w:szCs w:val="24"/>
        </w:rPr>
        <w:t xml:space="preserve">We </w:t>
      </w:r>
      <w:r w:rsidR="009B0AEB" w:rsidRPr="005C6D34">
        <w:rPr>
          <w:rFonts w:eastAsia="Calibri" w:cstheme="minorHAnsi"/>
          <w:sz w:val="24"/>
          <w:szCs w:val="24"/>
        </w:rPr>
        <w:t>use</w:t>
      </w:r>
      <w:r w:rsidR="002F09EF" w:rsidRPr="005C6D34">
        <w:rPr>
          <w:rFonts w:eastAsia="Calibri" w:cstheme="minorHAnsi"/>
          <w:sz w:val="24"/>
          <w:szCs w:val="24"/>
        </w:rPr>
        <w:t>d</w:t>
      </w:r>
      <w:r w:rsidR="009B0AEB" w:rsidRPr="005C6D34">
        <w:rPr>
          <w:rFonts w:eastAsia="Calibri" w:cstheme="minorHAnsi"/>
          <w:sz w:val="24"/>
          <w:szCs w:val="24"/>
        </w:rPr>
        <w:t xml:space="preserve"> </w:t>
      </w:r>
      <w:r w:rsidR="00701D66" w:rsidRPr="005C6D34">
        <w:rPr>
          <w:rFonts w:eastAsia="Calibri" w:cstheme="minorHAnsi"/>
          <w:sz w:val="24"/>
          <w:szCs w:val="24"/>
        </w:rPr>
        <w:t xml:space="preserve">the </w:t>
      </w:r>
      <w:r w:rsidR="009B0AEB" w:rsidRPr="005C6D34">
        <w:rPr>
          <w:rFonts w:eastAsia="Calibri" w:cstheme="minorHAnsi"/>
          <w:sz w:val="24"/>
          <w:szCs w:val="24"/>
        </w:rPr>
        <w:t>data that influence</w:t>
      </w:r>
      <w:r w:rsidR="002F09EF" w:rsidRPr="005C6D34">
        <w:rPr>
          <w:rFonts w:eastAsia="Calibri" w:cstheme="minorHAnsi"/>
          <w:sz w:val="24"/>
          <w:szCs w:val="24"/>
        </w:rPr>
        <w:t>d</w:t>
      </w:r>
      <w:r w:rsidR="009B0AEB" w:rsidRPr="005C6D34">
        <w:rPr>
          <w:rFonts w:eastAsia="Calibri" w:cstheme="minorHAnsi"/>
          <w:sz w:val="24"/>
          <w:szCs w:val="24"/>
        </w:rPr>
        <w:t xml:space="preserve"> voter registration to develop a linear model</w:t>
      </w:r>
      <w:r w:rsidR="00E520FA" w:rsidRPr="005C6D34">
        <w:rPr>
          <w:rFonts w:eastAsia="Calibri" w:cstheme="minorHAnsi"/>
          <w:sz w:val="24"/>
          <w:szCs w:val="24"/>
        </w:rPr>
        <w:t xml:space="preserve"> </w:t>
      </w:r>
      <w:r w:rsidR="00D314B3" w:rsidRPr="005C6D34">
        <w:rPr>
          <w:rFonts w:eastAsia="Calibri" w:cstheme="minorHAnsi"/>
          <w:sz w:val="24"/>
          <w:szCs w:val="24"/>
        </w:rPr>
        <w:t>and</w:t>
      </w:r>
      <w:r w:rsidR="009B0AEB" w:rsidRPr="005C6D34">
        <w:rPr>
          <w:rFonts w:eastAsia="Calibri" w:cstheme="minorHAnsi"/>
          <w:sz w:val="24"/>
          <w:szCs w:val="24"/>
        </w:rPr>
        <w:t xml:space="preserve"> assess how well the model matche</w:t>
      </w:r>
      <w:r w:rsidR="002F09EF" w:rsidRPr="005C6D34">
        <w:rPr>
          <w:rFonts w:eastAsia="Calibri" w:cstheme="minorHAnsi"/>
          <w:sz w:val="24"/>
          <w:szCs w:val="24"/>
        </w:rPr>
        <w:t>d</w:t>
      </w:r>
      <w:r w:rsidR="009B0AEB" w:rsidRPr="005C6D34">
        <w:rPr>
          <w:rFonts w:eastAsia="Calibri" w:cstheme="minorHAnsi"/>
          <w:sz w:val="24"/>
          <w:szCs w:val="24"/>
        </w:rPr>
        <w:t xml:space="preserve"> the data.</w:t>
      </w:r>
    </w:p>
    <w:p w14:paraId="0600033D" w14:textId="336F1BAD" w:rsidR="009B0AEB" w:rsidRPr="005C6D34" w:rsidRDefault="00672997" w:rsidP="000A687F">
      <w:pPr>
        <w:spacing w:after="160" w:line="360" w:lineRule="auto"/>
        <w:jc w:val="both"/>
        <w:rPr>
          <w:rFonts w:eastAsia="Calibri" w:cstheme="minorHAnsi"/>
          <w:sz w:val="24"/>
          <w:szCs w:val="24"/>
        </w:rPr>
      </w:pPr>
      <m:oMathPara>
        <m:oMath>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R</m:t>
              </m:r>
            </m:e>
            <m:sub>
              <m:r>
                <w:rPr>
                  <w:rFonts w:ascii="Cambria Math" w:eastAsia="Calibri" w:hAnsi="Cambria Math" w:cstheme="minorHAnsi"/>
                  <w:sz w:val="24"/>
                  <w:szCs w:val="24"/>
                </w:rPr>
                <m:t>i</m:t>
              </m:r>
            </m:sub>
          </m:sSub>
          <m:r>
            <w:rPr>
              <w:rFonts w:ascii="Cambria Math" w:eastAsia="Calibri" w:hAnsi="Cambria Math" w:cstheme="minorHAnsi"/>
              <w:sz w:val="24"/>
              <w:szCs w:val="24"/>
            </w:rPr>
            <m:t>=a+</m:t>
          </m:r>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β</m:t>
              </m:r>
            </m:e>
            <m:sub>
              <m:r>
                <w:rPr>
                  <w:rFonts w:ascii="Cambria Math" w:eastAsia="Calibri" w:hAnsi="Cambria Math" w:cstheme="minorHAnsi"/>
                  <w:sz w:val="24"/>
                  <w:szCs w:val="24"/>
                </w:rPr>
                <m:t>1</m:t>
              </m:r>
            </m:sub>
          </m:sSub>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U</m:t>
              </m:r>
            </m:e>
            <m:sub>
              <m:r>
                <w:rPr>
                  <w:rFonts w:ascii="Cambria Math" w:eastAsia="Calibri" w:hAnsi="Cambria Math" w:cstheme="minorHAnsi"/>
                  <w:sz w:val="24"/>
                  <w:szCs w:val="24"/>
                </w:rPr>
                <m:t>i</m:t>
              </m:r>
            </m:sub>
          </m:sSub>
          <m:r>
            <w:rPr>
              <w:rFonts w:ascii="Cambria Math" w:eastAsia="Calibri" w:hAnsi="Cambria Math" w:cstheme="minorHAnsi"/>
              <w:sz w:val="24"/>
              <w:szCs w:val="24"/>
            </w:rPr>
            <m:t>+</m:t>
          </m:r>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β</m:t>
              </m:r>
            </m:e>
            <m:sub>
              <m:r>
                <w:rPr>
                  <w:rFonts w:ascii="Cambria Math" w:eastAsia="Calibri" w:hAnsi="Cambria Math" w:cstheme="minorHAnsi"/>
                  <w:sz w:val="24"/>
                  <w:szCs w:val="24"/>
                </w:rPr>
                <m:t>2</m:t>
              </m:r>
            </m:sub>
          </m:sSub>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MPI</m:t>
              </m:r>
            </m:e>
            <m:sub>
              <m:r>
                <w:rPr>
                  <w:rFonts w:ascii="Cambria Math" w:eastAsia="Calibri" w:hAnsi="Cambria Math" w:cstheme="minorHAnsi"/>
                  <w:sz w:val="24"/>
                  <w:szCs w:val="24"/>
                </w:rPr>
                <m:t>i</m:t>
              </m:r>
            </m:sub>
          </m:sSub>
          <m:r>
            <w:rPr>
              <w:rFonts w:ascii="Cambria Math" w:eastAsia="Calibri" w:hAnsi="Cambria Math" w:cstheme="minorHAnsi"/>
              <w:sz w:val="24"/>
              <w:szCs w:val="24"/>
            </w:rPr>
            <m:t>+</m:t>
          </m:r>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β</m:t>
              </m:r>
            </m:e>
            <m:sub>
              <m:r>
                <w:rPr>
                  <w:rFonts w:ascii="Cambria Math" w:eastAsia="Calibri" w:hAnsi="Cambria Math" w:cstheme="minorHAnsi"/>
                  <w:sz w:val="24"/>
                  <w:szCs w:val="24"/>
                </w:rPr>
                <m:t>3</m:t>
              </m:r>
            </m:sub>
          </m:sSub>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I</m:t>
              </m:r>
            </m:e>
            <m:sub>
              <m:r>
                <w:rPr>
                  <w:rFonts w:ascii="Cambria Math" w:eastAsia="Calibri" w:hAnsi="Cambria Math" w:cstheme="minorHAnsi"/>
                  <w:sz w:val="24"/>
                  <w:szCs w:val="24"/>
                </w:rPr>
                <m:t>i</m:t>
              </m:r>
            </m:sub>
          </m:sSub>
        </m:oMath>
      </m:oMathPara>
    </w:p>
    <w:p w14:paraId="44020E25" w14:textId="24C0D303" w:rsidR="00D314B3" w:rsidRPr="005C6D34" w:rsidRDefault="009B0AEB" w:rsidP="000A687F">
      <w:pPr>
        <w:spacing w:after="160" w:line="360" w:lineRule="auto"/>
        <w:jc w:val="both"/>
        <w:rPr>
          <w:rFonts w:eastAsia="Calibri" w:cstheme="minorHAnsi"/>
          <w:sz w:val="24"/>
          <w:szCs w:val="24"/>
        </w:rPr>
      </w:pPr>
      <w:r w:rsidRPr="005C6D34">
        <w:rPr>
          <w:rFonts w:eastAsia="Calibri" w:cstheme="minorHAnsi"/>
          <w:sz w:val="24"/>
          <w:szCs w:val="24"/>
        </w:rPr>
        <w:t xml:space="preserve">The above equation is the linear model, where </w:t>
      </w:r>
      <m:oMath>
        <m:r>
          <w:rPr>
            <w:rFonts w:ascii="Cambria Math" w:eastAsia="Calibri" w:hAnsi="Cambria Math" w:cstheme="minorHAnsi"/>
            <w:sz w:val="24"/>
            <w:szCs w:val="24"/>
          </w:rPr>
          <m:t>R</m:t>
        </m:r>
      </m:oMath>
      <w:r w:rsidRPr="005C6D34">
        <w:rPr>
          <w:rFonts w:eastAsia="Calibri" w:cstheme="minorHAnsi"/>
          <w:sz w:val="24"/>
          <w:szCs w:val="24"/>
        </w:rPr>
        <w:t xml:space="preserve"> is the dependent variable as voter registration per population. The sub</w:t>
      </w:r>
      <w:r w:rsidR="00FC107D" w:rsidRPr="005C6D34">
        <w:rPr>
          <w:rFonts w:eastAsia="Calibri" w:cstheme="minorHAnsi"/>
          <w:sz w:val="24"/>
          <w:szCs w:val="24"/>
        </w:rPr>
        <w:t>-</w:t>
      </w:r>
      <w:r w:rsidRPr="005C6D34">
        <w:rPr>
          <w:rFonts w:eastAsia="Calibri" w:cstheme="minorHAnsi"/>
          <w:sz w:val="24"/>
          <w:szCs w:val="24"/>
        </w:rPr>
        <w:t xml:space="preserve">script </w:t>
      </w:r>
      <m:oMath>
        <m:r>
          <w:rPr>
            <w:rFonts w:ascii="Cambria Math" w:eastAsia="Calibri" w:hAnsi="Cambria Math" w:cstheme="minorHAnsi"/>
            <w:sz w:val="24"/>
            <w:szCs w:val="24"/>
          </w:rPr>
          <m:t>i</m:t>
        </m:r>
      </m:oMath>
      <w:r w:rsidRPr="005C6D34">
        <w:rPr>
          <w:rFonts w:eastAsia="Calibri" w:cstheme="minorHAnsi"/>
          <w:sz w:val="24"/>
          <w:szCs w:val="24"/>
        </w:rPr>
        <w:t xml:space="preserve"> </w:t>
      </w:r>
      <w:r w:rsidR="00AA7057" w:rsidRPr="005C6D34">
        <w:rPr>
          <w:rFonts w:eastAsia="Calibri" w:cstheme="minorHAnsi"/>
          <w:sz w:val="24"/>
          <w:szCs w:val="24"/>
        </w:rPr>
        <w:t>r</w:t>
      </w:r>
      <w:r w:rsidR="00F44B33" w:rsidRPr="005C6D34">
        <w:rPr>
          <w:rFonts w:eastAsia="Calibri" w:cstheme="minorHAnsi"/>
          <w:sz w:val="24"/>
          <w:szCs w:val="24"/>
        </w:rPr>
        <w:t xml:space="preserve">epresents the </w:t>
      </w:r>
      <w:r w:rsidRPr="005C6D34">
        <w:rPr>
          <w:rFonts w:eastAsia="Calibri" w:cstheme="minorHAnsi"/>
          <w:sz w:val="24"/>
          <w:szCs w:val="24"/>
        </w:rPr>
        <w:t>sub</w:t>
      </w:r>
      <w:r w:rsidR="00FC107D" w:rsidRPr="005C6D34">
        <w:rPr>
          <w:rFonts w:eastAsia="Calibri" w:cstheme="minorHAnsi"/>
          <w:sz w:val="24"/>
          <w:szCs w:val="24"/>
        </w:rPr>
        <w:t>-</w:t>
      </w:r>
      <w:r w:rsidRPr="005C6D34">
        <w:rPr>
          <w:rFonts w:eastAsia="Calibri" w:cstheme="minorHAnsi"/>
          <w:sz w:val="24"/>
          <w:szCs w:val="24"/>
        </w:rPr>
        <w:t xml:space="preserve">national level of state governments. The dependent variables include the constant </w:t>
      </w:r>
      <m:oMath>
        <m:r>
          <w:rPr>
            <w:rFonts w:ascii="Cambria Math" w:eastAsia="Calibri" w:hAnsi="Cambria Math" w:cstheme="minorHAnsi"/>
            <w:sz w:val="24"/>
            <w:szCs w:val="24"/>
          </w:rPr>
          <m:t>a</m:t>
        </m:r>
      </m:oMath>
      <w:r w:rsidR="00D314B3" w:rsidRPr="005C6D34">
        <w:rPr>
          <w:rFonts w:eastAsia="Calibri" w:cstheme="minorHAnsi"/>
          <w:sz w:val="24"/>
          <w:szCs w:val="24"/>
        </w:rPr>
        <w:t xml:space="preserve"> and</w:t>
      </w:r>
      <w:r w:rsidRPr="005C6D34">
        <w:rPr>
          <w:rFonts w:eastAsia="Calibri" w:cstheme="minorHAnsi"/>
          <w:sz w:val="24"/>
          <w:szCs w:val="24"/>
        </w:rPr>
        <w:t xml:space="preserve"> </w:t>
      </w:r>
      <w:r w:rsidR="00AA7057" w:rsidRPr="005C6D34">
        <w:rPr>
          <w:rFonts w:eastAsia="Calibri" w:cstheme="minorHAnsi"/>
          <w:sz w:val="24"/>
          <w:szCs w:val="24"/>
        </w:rPr>
        <w:t xml:space="preserve">the </w:t>
      </w:r>
      <w:r w:rsidRPr="005C6D34">
        <w:rPr>
          <w:rFonts w:eastAsia="Calibri" w:cstheme="minorHAnsi"/>
          <w:sz w:val="24"/>
          <w:szCs w:val="24"/>
        </w:rPr>
        <w:t>parameters of each i</w:t>
      </w:r>
      <w:r w:rsidR="00AA7057" w:rsidRPr="005C6D34">
        <w:rPr>
          <w:rFonts w:eastAsia="Calibri" w:cstheme="minorHAnsi"/>
          <w:sz w:val="24"/>
          <w:szCs w:val="24"/>
        </w:rPr>
        <w:t xml:space="preserve">ndependent </w:t>
      </w:r>
      <w:r w:rsidRPr="005C6D34">
        <w:rPr>
          <w:rFonts w:eastAsia="Calibri" w:cstheme="minorHAnsi"/>
          <w:sz w:val="24"/>
          <w:szCs w:val="24"/>
        </w:rPr>
        <w:t xml:space="preserve">variable </w:t>
      </w:r>
      <m:oMath>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β</m:t>
            </m:r>
          </m:e>
          <m:sub>
            <m:r>
              <w:rPr>
                <w:rFonts w:ascii="Cambria Math" w:eastAsia="Calibri" w:hAnsi="Cambria Math" w:cstheme="minorHAnsi"/>
                <w:sz w:val="24"/>
                <w:szCs w:val="24"/>
              </w:rPr>
              <m:t>1-3</m:t>
            </m:r>
          </m:sub>
        </m:sSub>
      </m:oMath>
      <w:r w:rsidRPr="005C6D34">
        <w:rPr>
          <w:rFonts w:eastAsia="Times New Roman" w:cstheme="minorHAnsi"/>
          <w:sz w:val="24"/>
          <w:szCs w:val="24"/>
        </w:rPr>
        <w:t xml:space="preserve">. The </w:t>
      </w:r>
      <w:r w:rsidR="003A53CC" w:rsidRPr="005C6D34">
        <w:rPr>
          <w:rFonts w:eastAsia="Times New Roman" w:cstheme="minorHAnsi"/>
          <w:sz w:val="24"/>
          <w:szCs w:val="24"/>
        </w:rPr>
        <w:t>in</w:t>
      </w:r>
      <w:r w:rsidRPr="005C6D34">
        <w:rPr>
          <w:rFonts w:eastAsia="Times New Roman" w:cstheme="minorHAnsi"/>
          <w:sz w:val="24"/>
          <w:szCs w:val="24"/>
        </w:rPr>
        <w:t xml:space="preserve">dependent variables are </w:t>
      </w:r>
      <w:r w:rsidR="00D314B3" w:rsidRPr="005C6D34">
        <w:rPr>
          <w:rFonts w:eastAsia="Times New Roman" w:cstheme="minorHAnsi"/>
          <w:sz w:val="24"/>
          <w:szCs w:val="24"/>
        </w:rPr>
        <w:t xml:space="preserve">the </w:t>
      </w:r>
      <w:r w:rsidRPr="005C6D34">
        <w:rPr>
          <w:rFonts w:eastAsia="Times New Roman" w:cstheme="minorHAnsi"/>
          <w:sz w:val="24"/>
          <w:szCs w:val="24"/>
        </w:rPr>
        <w:t>unemployment rate</w:t>
      </w:r>
      <w:r w:rsidR="00C17869" w:rsidRPr="005C6D34">
        <w:rPr>
          <w:rFonts w:eastAsia="Times New Roman" w:cstheme="minorHAnsi"/>
          <w:sz w:val="24"/>
          <w:szCs w:val="24"/>
        </w:rPr>
        <w:t xml:space="preserve"> (</w:t>
      </w:r>
      <m:oMath>
        <m:r>
          <w:rPr>
            <w:rFonts w:ascii="Cambria Math" w:eastAsia="Times New Roman" w:hAnsi="Cambria Math" w:cstheme="minorHAnsi"/>
            <w:sz w:val="24"/>
            <w:szCs w:val="24"/>
          </w:rPr>
          <m:t>U</m:t>
        </m:r>
      </m:oMath>
      <w:r w:rsidR="00C17869" w:rsidRPr="005C6D34">
        <w:rPr>
          <w:rFonts w:eastAsia="Times New Roman" w:cstheme="minorHAnsi"/>
          <w:sz w:val="24"/>
          <w:szCs w:val="24"/>
        </w:rPr>
        <w:t>)</w:t>
      </w:r>
      <w:r w:rsidRPr="005C6D34">
        <w:rPr>
          <w:rFonts w:eastAsia="Times New Roman" w:cstheme="minorHAnsi"/>
          <w:sz w:val="24"/>
          <w:szCs w:val="24"/>
        </w:rPr>
        <w:t xml:space="preserve">, </w:t>
      </w:r>
      <w:r w:rsidR="00C17869" w:rsidRPr="005C6D34">
        <w:rPr>
          <w:rFonts w:eastAsia="Times New Roman" w:cstheme="minorHAnsi"/>
          <w:sz w:val="24"/>
          <w:szCs w:val="24"/>
        </w:rPr>
        <w:t xml:space="preserve">multidimensional </w:t>
      </w:r>
      <w:r w:rsidRPr="005C6D34">
        <w:rPr>
          <w:rFonts w:eastAsia="Times New Roman" w:cstheme="minorHAnsi"/>
          <w:sz w:val="24"/>
          <w:szCs w:val="24"/>
        </w:rPr>
        <w:t>poverty</w:t>
      </w:r>
      <w:r w:rsidR="00C17869" w:rsidRPr="005C6D34">
        <w:rPr>
          <w:rFonts w:eastAsia="Times New Roman" w:cstheme="minorHAnsi"/>
          <w:sz w:val="24"/>
          <w:szCs w:val="24"/>
        </w:rPr>
        <w:t xml:space="preserve"> index (</w:t>
      </w:r>
      <m:oMath>
        <m:r>
          <w:rPr>
            <w:rFonts w:ascii="Cambria Math" w:eastAsia="Times New Roman" w:hAnsi="Cambria Math" w:cstheme="minorHAnsi"/>
            <w:sz w:val="24"/>
            <w:szCs w:val="24"/>
          </w:rPr>
          <m:t>MPI</m:t>
        </m:r>
      </m:oMath>
      <w:r w:rsidR="00C17869" w:rsidRPr="005C6D34">
        <w:rPr>
          <w:rFonts w:eastAsia="Times New Roman" w:cstheme="minorHAnsi"/>
          <w:sz w:val="24"/>
          <w:szCs w:val="24"/>
        </w:rPr>
        <w:t>)</w:t>
      </w:r>
      <w:r w:rsidRPr="005C6D34">
        <w:rPr>
          <w:rFonts w:eastAsia="Times New Roman" w:cstheme="minorHAnsi"/>
          <w:sz w:val="24"/>
          <w:szCs w:val="24"/>
        </w:rPr>
        <w:t xml:space="preserve"> </w:t>
      </w:r>
      <w:r w:rsidR="00D314B3" w:rsidRPr="005C6D34">
        <w:rPr>
          <w:rFonts w:eastAsia="Times New Roman" w:cstheme="minorHAnsi"/>
          <w:sz w:val="24"/>
          <w:szCs w:val="24"/>
        </w:rPr>
        <w:t>and</w:t>
      </w:r>
      <w:r w:rsidRPr="005C6D34">
        <w:rPr>
          <w:rFonts w:eastAsia="Times New Roman" w:cstheme="minorHAnsi"/>
          <w:sz w:val="24"/>
          <w:szCs w:val="24"/>
        </w:rPr>
        <w:t xml:space="preserve"> internet </w:t>
      </w:r>
      <w:r w:rsidR="00A568B9" w:rsidRPr="005C6D34">
        <w:rPr>
          <w:rFonts w:eastAsia="Times New Roman" w:cstheme="minorHAnsi"/>
          <w:sz w:val="24"/>
          <w:szCs w:val="24"/>
        </w:rPr>
        <w:t>connection</w:t>
      </w:r>
      <w:r w:rsidRPr="005C6D34">
        <w:rPr>
          <w:rFonts w:eastAsia="Times New Roman" w:cstheme="minorHAnsi"/>
          <w:sz w:val="24"/>
          <w:szCs w:val="24"/>
        </w:rPr>
        <w:t xml:space="preserve"> rate per person. We also use</w:t>
      </w:r>
      <w:r w:rsidR="002F09EF" w:rsidRPr="005C6D34">
        <w:rPr>
          <w:rFonts w:eastAsia="Times New Roman" w:cstheme="minorHAnsi"/>
          <w:sz w:val="24"/>
          <w:szCs w:val="24"/>
        </w:rPr>
        <w:t>d</w:t>
      </w:r>
      <w:r w:rsidRPr="005C6D34">
        <w:rPr>
          <w:rFonts w:eastAsia="Times New Roman" w:cstheme="minorHAnsi"/>
          <w:sz w:val="24"/>
          <w:szCs w:val="24"/>
        </w:rPr>
        <w:t xml:space="preserve"> a full</w:t>
      </w:r>
      <w:r w:rsidR="00FC107D" w:rsidRPr="005C6D34">
        <w:rPr>
          <w:rFonts w:eastAsia="Times New Roman" w:cstheme="minorHAnsi"/>
          <w:sz w:val="24"/>
          <w:szCs w:val="24"/>
        </w:rPr>
        <w:t>-</w:t>
      </w:r>
      <w:r w:rsidRPr="005C6D34">
        <w:rPr>
          <w:rFonts w:eastAsia="Times New Roman" w:cstheme="minorHAnsi"/>
          <w:sz w:val="24"/>
          <w:szCs w:val="24"/>
        </w:rPr>
        <w:t>factorial (two</w:t>
      </w:r>
      <w:r w:rsidR="00FC107D" w:rsidRPr="005C6D34">
        <w:rPr>
          <w:rFonts w:eastAsia="Times New Roman" w:cstheme="minorHAnsi"/>
          <w:sz w:val="24"/>
          <w:szCs w:val="24"/>
        </w:rPr>
        <w:t>-</w:t>
      </w:r>
      <w:r w:rsidRPr="005C6D34">
        <w:rPr>
          <w:rFonts w:eastAsia="Times New Roman" w:cstheme="minorHAnsi"/>
          <w:sz w:val="24"/>
          <w:szCs w:val="24"/>
        </w:rPr>
        <w:t>way) ANOVA to assess variations across distinct groups</w:t>
      </w:r>
      <w:r w:rsidR="00A03141" w:rsidRPr="005C6D34">
        <w:rPr>
          <w:rFonts w:eastAsia="Times New Roman" w:cstheme="minorHAnsi"/>
          <w:sz w:val="24"/>
          <w:szCs w:val="24"/>
        </w:rPr>
        <w:t>’</w:t>
      </w:r>
      <w:r w:rsidRPr="005C6D34">
        <w:rPr>
          <w:rFonts w:eastAsia="Times New Roman" w:cstheme="minorHAnsi"/>
          <w:sz w:val="24"/>
          <w:szCs w:val="24"/>
        </w:rPr>
        <w:t xml:space="preserve"> means (or averages). The </w:t>
      </w:r>
      <w:r w:rsidR="002954CA" w:rsidRPr="005C6D34">
        <w:rPr>
          <w:rFonts w:eastAsia="Times New Roman" w:cstheme="minorHAnsi"/>
          <w:sz w:val="24"/>
          <w:szCs w:val="24"/>
        </w:rPr>
        <w:t xml:space="preserve">KMO Bartlett’s test and </w:t>
      </w:r>
      <w:r w:rsidR="00A758BA" w:rsidRPr="005C6D34">
        <w:rPr>
          <w:rFonts w:eastAsia="Times New Roman" w:cstheme="minorHAnsi"/>
          <w:sz w:val="24"/>
          <w:szCs w:val="24"/>
        </w:rPr>
        <w:t>Communality analysis</w:t>
      </w:r>
      <w:r w:rsidR="00F76EA5" w:rsidRPr="005C6D34">
        <w:rPr>
          <w:rFonts w:eastAsia="Times New Roman" w:cstheme="minorHAnsi"/>
          <w:sz w:val="24"/>
          <w:szCs w:val="24"/>
        </w:rPr>
        <w:t xml:space="preserve"> will</w:t>
      </w:r>
      <w:r w:rsidRPr="005C6D34">
        <w:rPr>
          <w:rFonts w:eastAsia="Times New Roman" w:cstheme="minorHAnsi"/>
          <w:sz w:val="24"/>
          <w:szCs w:val="24"/>
        </w:rPr>
        <w:t xml:space="preserve"> indirectly check all the possible scenarios of factors that could influence higher voter registration. </w:t>
      </w:r>
      <w:r w:rsidR="00A758BA" w:rsidRPr="005C6D34">
        <w:rPr>
          <w:rFonts w:eastAsia="Calibri" w:cstheme="minorHAnsi"/>
          <w:sz w:val="24"/>
          <w:szCs w:val="24"/>
        </w:rPr>
        <w:t xml:space="preserve">These methods </w:t>
      </w:r>
      <w:r w:rsidR="002954CA" w:rsidRPr="005C6D34">
        <w:rPr>
          <w:rFonts w:eastAsia="Calibri" w:cstheme="minorHAnsi"/>
          <w:sz w:val="24"/>
          <w:szCs w:val="24"/>
        </w:rPr>
        <w:t>show</w:t>
      </w:r>
      <w:r w:rsidR="00A758BA" w:rsidRPr="005C6D34">
        <w:rPr>
          <w:rFonts w:eastAsia="Calibri" w:cstheme="minorHAnsi"/>
          <w:sz w:val="24"/>
          <w:szCs w:val="24"/>
        </w:rPr>
        <w:t xml:space="preserve"> </w:t>
      </w:r>
      <w:r w:rsidR="002954CA" w:rsidRPr="005C6D34">
        <w:rPr>
          <w:rFonts w:eastAsia="Calibri" w:cstheme="minorHAnsi"/>
          <w:sz w:val="24"/>
          <w:szCs w:val="24"/>
        </w:rPr>
        <w:t>the strength of relationships between variables, boosting interpretability and avoiding information loss.</w:t>
      </w:r>
    </w:p>
    <w:p w14:paraId="33AAA1EC" w14:textId="309D16E8" w:rsidR="00546196" w:rsidRPr="005C6D34" w:rsidRDefault="009B0AEB" w:rsidP="000A687F">
      <w:pPr>
        <w:spacing w:line="360" w:lineRule="auto"/>
        <w:jc w:val="both"/>
        <w:rPr>
          <w:rFonts w:eastAsia="Calibri" w:cstheme="minorHAnsi"/>
          <w:sz w:val="24"/>
          <w:szCs w:val="24"/>
        </w:rPr>
      </w:pPr>
      <w:r w:rsidRPr="005C6D34">
        <w:rPr>
          <w:rFonts w:eastAsia="Calibri" w:cstheme="minorHAnsi"/>
          <w:sz w:val="24"/>
          <w:szCs w:val="24"/>
        </w:rPr>
        <w:t>The data analysis allow</w:t>
      </w:r>
      <w:r w:rsidR="002F09EF" w:rsidRPr="005C6D34">
        <w:rPr>
          <w:rFonts w:eastAsia="Calibri" w:cstheme="minorHAnsi"/>
          <w:sz w:val="24"/>
          <w:szCs w:val="24"/>
        </w:rPr>
        <w:t>ed</w:t>
      </w:r>
      <w:r w:rsidRPr="005C6D34">
        <w:rPr>
          <w:rFonts w:eastAsia="Calibri" w:cstheme="minorHAnsi"/>
          <w:sz w:val="24"/>
          <w:szCs w:val="24"/>
        </w:rPr>
        <w:t xml:space="preserve"> us to establish the relationships between the factors </w:t>
      </w:r>
      <w:r w:rsidR="00D314B3" w:rsidRPr="005C6D34">
        <w:rPr>
          <w:rFonts w:eastAsia="Calibri" w:cstheme="minorHAnsi"/>
          <w:sz w:val="24"/>
          <w:szCs w:val="24"/>
        </w:rPr>
        <w:t>and</w:t>
      </w:r>
      <w:r w:rsidRPr="005C6D34">
        <w:rPr>
          <w:rFonts w:eastAsia="Calibri" w:cstheme="minorHAnsi"/>
          <w:sz w:val="24"/>
          <w:szCs w:val="24"/>
        </w:rPr>
        <w:t xml:space="preserve"> voter registration. </w:t>
      </w:r>
      <w:r w:rsidR="00FC107D" w:rsidRPr="005C6D34">
        <w:rPr>
          <w:rFonts w:eastAsia="Calibri" w:cstheme="minorHAnsi"/>
          <w:sz w:val="24"/>
          <w:szCs w:val="24"/>
        </w:rPr>
        <w:t>However, we</w:t>
      </w:r>
      <w:r w:rsidRPr="005C6D34">
        <w:rPr>
          <w:rFonts w:eastAsia="Calibri" w:cstheme="minorHAnsi"/>
          <w:sz w:val="24"/>
          <w:szCs w:val="24"/>
        </w:rPr>
        <w:t xml:space="preserve"> </w:t>
      </w:r>
      <w:r w:rsidR="00701D66" w:rsidRPr="005C6D34">
        <w:rPr>
          <w:rFonts w:eastAsia="Calibri" w:cstheme="minorHAnsi"/>
          <w:sz w:val="24"/>
          <w:szCs w:val="24"/>
        </w:rPr>
        <w:t>know</w:t>
      </w:r>
      <w:r w:rsidRPr="005C6D34">
        <w:rPr>
          <w:rFonts w:eastAsia="Calibri" w:cstheme="minorHAnsi"/>
          <w:sz w:val="24"/>
          <w:szCs w:val="24"/>
        </w:rPr>
        <w:t xml:space="preserve"> that such generalisations can be limited</w:t>
      </w:r>
      <w:r w:rsidR="00D314B3" w:rsidRPr="005C6D34">
        <w:rPr>
          <w:rFonts w:eastAsia="Calibri" w:cstheme="minorHAnsi"/>
          <w:sz w:val="24"/>
          <w:szCs w:val="24"/>
        </w:rPr>
        <w:t>,</w:t>
      </w:r>
      <w:r w:rsidRPr="005C6D34">
        <w:rPr>
          <w:rFonts w:eastAsia="Calibri" w:cstheme="minorHAnsi"/>
          <w:sz w:val="24"/>
          <w:szCs w:val="24"/>
        </w:rPr>
        <w:t xml:space="preserve"> as country characteristics, democratic systems </w:t>
      </w:r>
      <w:r w:rsidR="00D314B3" w:rsidRPr="005C6D34">
        <w:rPr>
          <w:rFonts w:eastAsia="Calibri" w:cstheme="minorHAnsi"/>
          <w:sz w:val="24"/>
          <w:szCs w:val="24"/>
        </w:rPr>
        <w:t>and</w:t>
      </w:r>
      <w:r w:rsidRPr="005C6D34">
        <w:rPr>
          <w:rFonts w:eastAsia="Calibri" w:cstheme="minorHAnsi"/>
          <w:sz w:val="24"/>
          <w:szCs w:val="24"/>
        </w:rPr>
        <w:t xml:space="preserve"> political behaviour</w:t>
      </w:r>
      <w:r w:rsidR="00FC107D" w:rsidRPr="005C6D34">
        <w:rPr>
          <w:rFonts w:eastAsia="Calibri" w:cstheme="minorHAnsi"/>
          <w:sz w:val="24"/>
          <w:szCs w:val="24"/>
        </w:rPr>
        <w:t>s</w:t>
      </w:r>
      <w:r w:rsidRPr="005C6D34">
        <w:rPr>
          <w:rFonts w:eastAsia="Calibri" w:cstheme="minorHAnsi"/>
          <w:sz w:val="24"/>
          <w:szCs w:val="24"/>
        </w:rPr>
        <w:t xml:space="preserve"> differ. Thus, </w:t>
      </w:r>
      <w:r w:rsidR="00AA7057" w:rsidRPr="005C6D34">
        <w:rPr>
          <w:rFonts w:eastAsia="Calibri" w:cstheme="minorHAnsi"/>
          <w:sz w:val="24"/>
          <w:szCs w:val="24"/>
        </w:rPr>
        <w:t xml:space="preserve">we </w:t>
      </w:r>
      <w:r w:rsidRPr="005C6D34">
        <w:rPr>
          <w:rFonts w:eastAsia="Calibri" w:cstheme="minorHAnsi"/>
          <w:sz w:val="24"/>
          <w:szCs w:val="24"/>
        </w:rPr>
        <w:t>use</w:t>
      </w:r>
      <w:r w:rsidR="002F09EF" w:rsidRPr="005C6D34">
        <w:rPr>
          <w:rFonts w:eastAsia="Calibri" w:cstheme="minorHAnsi"/>
          <w:sz w:val="24"/>
          <w:szCs w:val="24"/>
        </w:rPr>
        <w:t>d</w:t>
      </w:r>
      <w:r w:rsidRPr="005C6D34">
        <w:rPr>
          <w:rFonts w:eastAsia="Calibri" w:cstheme="minorHAnsi"/>
          <w:sz w:val="24"/>
          <w:szCs w:val="24"/>
        </w:rPr>
        <w:t xml:space="preserve"> qualitative data </w:t>
      </w:r>
      <w:r w:rsidR="00D314B3" w:rsidRPr="005C6D34">
        <w:rPr>
          <w:rFonts w:eastAsia="Calibri" w:cstheme="minorHAnsi"/>
          <w:sz w:val="24"/>
          <w:szCs w:val="24"/>
        </w:rPr>
        <w:t>and</w:t>
      </w:r>
      <w:r w:rsidRPr="005C6D34">
        <w:rPr>
          <w:rFonts w:eastAsia="Calibri" w:cstheme="minorHAnsi"/>
          <w:sz w:val="24"/>
          <w:szCs w:val="24"/>
        </w:rPr>
        <w:t xml:space="preserve"> evidence from the off</w:t>
      </w:r>
      <w:r w:rsidR="00FC107D" w:rsidRPr="005C6D34">
        <w:rPr>
          <w:rFonts w:eastAsia="Calibri" w:cstheme="minorHAnsi"/>
          <w:sz w:val="24"/>
          <w:szCs w:val="24"/>
        </w:rPr>
        <w:t>-</w:t>
      </w:r>
      <w:r w:rsidRPr="005C6D34">
        <w:rPr>
          <w:rFonts w:eastAsia="Calibri" w:cstheme="minorHAnsi"/>
          <w:sz w:val="24"/>
          <w:szCs w:val="24"/>
        </w:rPr>
        <w:t>cycle elections to triangulate</w:t>
      </w:r>
      <w:r w:rsidR="002F09EF" w:rsidRPr="005C6D34">
        <w:rPr>
          <w:rFonts w:eastAsia="Calibri" w:cstheme="minorHAnsi"/>
          <w:sz w:val="24"/>
          <w:szCs w:val="24"/>
        </w:rPr>
        <w:t xml:space="preserve">. This allowed us </w:t>
      </w:r>
      <w:r w:rsidR="00410A62" w:rsidRPr="005C6D34">
        <w:rPr>
          <w:rFonts w:eastAsia="Calibri" w:cstheme="minorHAnsi"/>
          <w:sz w:val="24"/>
          <w:szCs w:val="24"/>
        </w:rPr>
        <w:t>to focus on the potential</w:t>
      </w:r>
      <w:r w:rsidRPr="005C6D34">
        <w:rPr>
          <w:rFonts w:eastAsia="Calibri" w:cstheme="minorHAnsi"/>
          <w:sz w:val="24"/>
          <w:szCs w:val="24"/>
        </w:rPr>
        <w:t xml:space="preserve"> of the 2023 general elections in Nigeria.</w:t>
      </w:r>
    </w:p>
    <w:p w14:paraId="190C4C7C" w14:textId="51A8AAD3" w:rsidR="00335C27" w:rsidRPr="005C6D34" w:rsidRDefault="00335C27" w:rsidP="0089105F">
      <w:pPr>
        <w:pStyle w:val="ListParagraph"/>
        <w:numPr>
          <w:ilvl w:val="1"/>
          <w:numId w:val="5"/>
        </w:numPr>
        <w:spacing w:after="0" w:line="360" w:lineRule="auto"/>
        <w:jc w:val="both"/>
        <w:rPr>
          <w:rFonts w:eastAsia="Calibri" w:cstheme="minorHAnsi"/>
          <w:b/>
          <w:bCs/>
          <w:sz w:val="24"/>
          <w:szCs w:val="24"/>
        </w:rPr>
      </w:pPr>
      <w:r w:rsidRPr="005C6D34">
        <w:rPr>
          <w:rFonts w:eastAsia="Calibri" w:cstheme="minorHAnsi"/>
          <w:b/>
          <w:bCs/>
          <w:sz w:val="24"/>
          <w:szCs w:val="24"/>
        </w:rPr>
        <w:t>Data</w:t>
      </w:r>
    </w:p>
    <w:p w14:paraId="59341064" w14:textId="1C2EDC3F" w:rsidR="00953901" w:rsidRPr="005C6D34" w:rsidRDefault="00FC107D" w:rsidP="000A687F">
      <w:pPr>
        <w:spacing w:line="360" w:lineRule="auto"/>
        <w:jc w:val="both"/>
        <w:rPr>
          <w:rFonts w:cstheme="minorHAnsi"/>
          <w:sz w:val="24"/>
          <w:szCs w:val="24"/>
        </w:rPr>
      </w:pPr>
      <w:r w:rsidRPr="005C6D34">
        <w:rPr>
          <w:rFonts w:eastAsia="Calibri" w:cstheme="minorHAnsi"/>
          <w:sz w:val="24"/>
          <w:szCs w:val="24"/>
        </w:rPr>
        <w:t>We retrieved d</w:t>
      </w:r>
      <w:r w:rsidR="002B7EB0" w:rsidRPr="005C6D34">
        <w:rPr>
          <w:rFonts w:eastAsia="Calibri" w:cstheme="minorHAnsi"/>
          <w:sz w:val="24"/>
          <w:szCs w:val="24"/>
        </w:rPr>
        <w:t>emographic data from</w:t>
      </w:r>
      <w:r w:rsidR="00050180" w:rsidRPr="005C6D34">
        <w:rPr>
          <w:rFonts w:cstheme="minorHAnsi"/>
          <w:sz w:val="24"/>
          <w:szCs w:val="24"/>
        </w:rPr>
        <w:t xml:space="preserve"> </w:t>
      </w:r>
      <w:r w:rsidR="00BA1BAB" w:rsidRPr="005C6D34">
        <w:rPr>
          <w:rFonts w:cstheme="minorHAnsi"/>
          <w:sz w:val="24"/>
          <w:szCs w:val="24"/>
        </w:rPr>
        <w:t>the Nige</w:t>
      </w:r>
      <w:r w:rsidR="002B7EB0" w:rsidRPr="005C6D34">
        <w:rPr>
          <w:rFonts w:cstheme="minorHAnsi"/>
          <w:sz w:val="24"/>
          <w:szCs w:val="24"/>
        </w:rPr>
        <w:t>ria</w:t>
      </w:r>
      <w:r w:rsidR="00D314B3" w:rsidRPr="005C6D34">
        <w:rPr>
          <w:rFonts w:cstheme="minorHAnsi"/>
          <w:sz w:val="24"/>
          <w:szCs w:val="24"/>
        </w:rPr>
        <w:t>n</w:t>
      </w:r>
      <w:r w:rsidR="002B7EB0" w:rsidRPr="005C6D34">
        <w:rPr>
          <w:rFonts w:cstheme="minorHAnsi"/>
          <w:sz w:val="24"/>
          <w:szCs w:val="24"/>
        </w:rPr>
        <w:t xml:space="preserve"> Bureau of Statistics (NBS)</w:t>
      </w:r>
      <w:r w:rsidR="00254580" w:rsidRPr="005C6D34">
        <w:rPr>
          <w:rFonts w:cstheme="minorHAnsi"/>
          <w:sz w:val="24"/>
          <w:szCs w:val="24"/>
        </w:rPr>
        <w:t xml:space="preserve"> and </w:t>
      </w:r>
      <w:r w:rsidR="002B7EB0" w:rsidRPr="005C6D34">
        <w:rPr>
          <w:rFonts w:cstheme="minorHAnsi"/>
          <w:sz w:val="24"/>
          <w:szCs w:val="24"/>
        </w:rPr>
        <w:t>the World Population Prospects</w:t>
      </w:r>
      <w:r w:rsidR="00254580" w:rsidRPr="005C6D34">
        <w:rPr>
          <w:rFonts w:cstheme="minorHAnsi"/>
          <w:sz w:val="24"/>
          <w:szCs w:val="24"/>
        </w:rPr>
        <w:t xml:space="preserve">. We relied on the Labour Force Statistics data of 2020Q4 on the NBS </w:t>
      </w:r>
      <w:r w:rsidR="00254580" w:rsidRPr="005C6D34">
        <w:rPr>
          <w:rFonts w:cstheme="minorHAnsi"/>
          <w:sz w:val="24"/>
          <w:szCs w:val="24"/>
        </w:rPr>
        <w:lastRenderedPageBreak/>
        <w:t xml:space="preserve">website for data on Nigeria’s unemployment rate. The </w:t>
      </w:r>
      <w:r w:rsidR="006D5D35" w:rsidRPr="005C6D34">
        <w:rPr>
          <w:rFonts w:cstheme="minorHAnsi"/>
          <w:sz w:val="24"/>
          <w:szCs w:val="24"/>
        </w:rPr>
        <w:t>values</w:t>
      </w:r>
      <w:r w:rsidR="00254580" w:rsidRPr="005C6D34">
        <w:rPr>
          <w:rFonts w:cstheme="minorHAnsi"/>
          <w:sz w:val="24"/>
          <w:szCs w:val="24"/>
        </w:rPr>
        <w:t xml:space="preserve"> were estimated by dividing the total amount of employed people by the labour force figure. The data was extracted by taking those out of the labour force. </w:t>
      </w:r>
    </w:p>
    <w:p w14:paraId="27E51327" w14:textId="30AA0EBA" w:rsidR="004907DE" w:rsidRPr="005C6D34" w:rsidRDefault="00254580" w:rsidP="000A687F">
      <w:pPr>
        <w:spacing w:line="360" w:lineRule="auto"/>
        <w:jc w:val="both"/>
        <w:rPr>
          <w:rFonts w:cstheme="minorHAnsi"/>
          <w:sz w:val="24"/>
          <w:szCs w:val="24"/>
        </w:rPr>
      </w:pPr>
      <w:r w:rsidRPr="005C6D34">
        <w:rPr>
          <w:rFonts w:cstheme="minorHAnsi"/>
          <w:sz w:val="24"/>
          <w:szCs w:val="24"/>
        </w:rPr>
        <w:t xml:space="preserve">We retrieved </w:t>
      </w:r>
      <w:r w:rsidR="00956303" w:rsidRPr="005C6D34">
        <w:rPr>
          <w:rFonts w:cstheme="minorHAnsi"/>
          <w:sz w:val="24"/>
          <w:szCs w:val="24"/>
        </w:rPr>
        <w:t xml:space="preserve">the </w:t>
      </w:r>
      <w:r w:rsidR="007E3313" w:rsidRPr="005C6D34">
        <w:rPr>
          <w:rFonts w:cstheme="minorHAnsi"/>
          <w:sz w:val="24"/>
          <w:szCs w:val="24"/>
        </w:rPr>
        <w:t xml:space="preserve">poverty </w:t>
      </w:r>
      <w:r w:rsidR="006D5D35" w:rsidRPr="005C6D34">
        <w:rPr>
          <w:rFonts w:cstheme="minorHAnsi"/>
          <w:sz w:val="24"/>
          <w:szCs w:val="24"/>
        </w:rPr>
        <w:t>data</w:t>
      </w:r>
      <w:r w:rsidRPr="005C6D34">
        <w:rPr>
          <w:rFonts w:cstheme="minorHAnsi"/>
          <w:sz w:val="24"/>
          <w:szCs w:val="24"/>
        </w:rPr>
        <w:t xml:space="preserve"> f</w:t>
      </w:r>
      <w:r w:rsidR="00166FF7" w:rsidRPr="005C6D34">
        <w:rPr>
          <w:rFonts w:cstheme="minorHAnsi"/>
          <w:sz w:val="24"/>
          <w:szCs w:val="24"/>
        </w:rPr>
        <w:t xml:space="preserve">rom </w:t>
      </w:r>
      <w:r w:rsidR="00EC3F1B" w:rsidRPr="005C6D34">
        <w:rPr>
          <w:rFonts w:eastAsia="Georgia" w:cstheme="minorHAnsi"/>
          <w:sz w:val="24"/>
          <w:szCs w:val="24"/>
        </w:rPr>
        <w:t>Oxford Poverty and Human Development Initiative (2022). MPI</w:t>
      </w:r>
      <w:r w:rsidR="00EE1683" w:rsidRPr="005C6D34">
        <w:rPr>
          <w:rFonts w:cstheme="minorHAnsi"/>
          <w:sz w:val="24"/>
          <w:szCs w:val="24"/>
        </w:rPr>
        <w:t xml:space="preserve"> measures poverty in developing countries by complementing the traditional monetary poverty measures (of $1.90 per day) and simultaneously capturing the acute deprivations in health, education, and living standards that a person faces.</w:t>
      </w:r>
      <w:r w:rsidR="009D6D17" w:rsidRPr="005C6D34">
        <w:rPr>
          <w:rFonts w:cstheme="minorHAnsi"/>
          <w:sz w:val="24"/>
          <w:szCs w:val="24"/>
        </w:rPr>
        <w:t xml:space="preserve"> </w:t>
      </w:r>
      <w:r w:rsidR="00E47B7C" w:rsidRPr="005C6D34">
        <w:rPr>
          <w:rFonts w:cstheme="minorHAnsi"/>
          <w:sz w:val="24"/>
          <w:szCs w:val="24"/>
        </w:rPr>
        <w:t>The MPI is calculated by multiplying the incidence of poverty and the average intensity of poverty.</w:t>
      </w:r>
      <w:r w:rsidR="008A053D" w:rsidRPr="005C6D34">
        <w:rPr>
          <w:rFonts w:cstheme="minorHAnsi"/>
          <w:sz w:val="24"/>
          <w:szCs w:val="24"/>
        </w:rPr>
        <w:t xml:space="preserve"> T</w:t>
      </w:r>
      <w:r w:rsidR="0010111E" w:rsidRPr="005C6D34">
        <w:rPr>
          <w:rFonts w:cstheme="minorHAnsi"/>
          <w:sz w:val="24"/>
          <w:szCs w:val="24"/>
        </w:rPr>
        <w:t xml:space="preserve">he </w:t>
      </w:r>
      <w:r w:rsidR="00E47B7C" w:rsidRPr="005C6D34">
        <w:rPr>
          <w:rFonts w:cstheme="minorHAnsi"/>
          <w:sz w:val="24"/>
          <w:szCs w:val="24"/>
        </w:rPr>
        <w:t>multidimensionally poor</w:t>
      </w:r>
      <w:r w:rsidR="008A053D" w:rsidRPr="005C6D34">
        <w:rPr>
          <w:rFonts w:cstheme="minorHAnsi"/>
          <w:sz w:val="24"/>
          <w:szCs w:val="24"/>
        </w:rPr>
        <w:t xml:space="preserve"> </w:t>
      </w:r>
      <w:r w:rsidR="0010111E" w:rsidRPr="005C6D34">
        <w:rPr>
          <w:rFonts w:cstheme="minorHAnsi"/>
          <w:sz w:val="24"/>
          <w:szCs w:val="24"/>
        </w:rPr>
        <w:t xml:space="preserve">share of the population is </w:t>
      </w:r>
      <w:r w:rsidR="008A053D" w:rsidRPr="005C6D34">
        <w:rPr>
          <w:rFonts w:cstheme="minorHAnsi"/>
          <w:sz w:val="24"/>
          <w:szCs w:val="24"/>
        </w:rPr>
        <w:t xml:space="preserve">multiplied by the </w:t>
      </w:r>
      <w:r w:rsidR="00E47B7C" w:rsidRPr="005C6D34">
        <w:rPr>
          <w:rFonts w:cstheme="minorHAnsi"/>
          <w:sz w:val="24"/>
          <w:szCs w:val="24"/>
        </w:rPr>
        <w:t>average proportion of dimensions in which poor people are deprived</w:t>
      </w:r>
      <w:r w:rsidR="00824440" w:rsidRPr="005C6D34">
        <w:rPr>
          <w:rFonts w:cstheme="minorHAnsi"/>
          <w:sz w:val="24"/>
          <w:szCs w:val="24"/>
        </w:rPr>
        <w:t xml:space="preserve"> (</w:t>
      </w:r>
      <w:proofErr w:type="spellStart"/>
      <w:r w:rsidR="00824440" w:rsidRPr="005C6D34">
        <w:rPr>
          <w:rFonts w:cstheme="minorHAnsi"/>
          <w:sz w:val="24"/>
          <w:szCs w:val="24"/>
        </w:rPr>
        <w:t>Alkire</w:t>
      </w:r>
      <w:proofErr w:type="spellEnd"/>
      <w:r w:rsidR="00824440" w:rsidRPr="005C6D34">
        <w:rPr>
          <w:rFonts w:cstheme="minorHAnsi"/>
          <w:sz w:val="24"/>
          <w:szCs w:val="24"/>
        </w:rPr>
        <w:t xml:space="preserve">, Kanagaratnam, Nogales and </w:t>
      </w:r>
      <w:proofErr w:type="spellStart"/>
      <w:r w:rsidR="00824440" w:rsidRPr="005C6D34">
        <w:rPr>
          <w:rFonts w:cstheme="minorHAnsi"/>
          <w:sz w:val="24"/>
          <w:szCs w:val="24"/>
        </w:rPr>
        <w:t>Suppa</w:t>
      </w:r>
      <w:proofErr w:type="spellEnd"/>
      <w:r w:rsidR="00460570" w:rsidRPr="005C6D34">
        <w:rPr>
          <w:rFonts w:cstheme="minorHAnsi"/>
          <w:sz w:val="24"/>
          <w:szCs w:val="24"/>
        </w:rPr>
        <w:t xml:space="preserve">, </w:t>
      </w:r>
      <w:r w:rsidR="00824440" w:rsidRPr="005C6D34">
        <w:rPr>
          <w:rFonts w:cstheme="minorHAnsi"/>
          <w:sz w:val="24"/>
          <w:szCs w:val="24"/>
        </w:rPr>
        <w:t>2022)</w:t>
      </w:r>
      <w:r w:rsidR="00E47B7C" w:rsidRPr="005C6D34">
        <w:rPr>
          <w:rFonts w:cstheme="minorHAnsi"/>
          <w:sz w:val="24"/>
          <w:szCs w:val="24"/>
        </w:rPr>
        <w:t>.</w:t>
      </w:r>
      <w:r w:rsidR="008A053D" w:rsidRPr="005C6D34">
        <w:rPr>
          <w:rFonts w:cstheme="minorHAnsi"/>
          <w:sz w:val="24"/>
          <w:szCs w:val="24"/>
        </w:rPr>
        <w:t xml:space="preserve"> </w:t>
      </w:r>
      <w:r w:rsidR="00434B54" w:rsidRPr="005C6D34">
        <w:rPr>
          <w:rFonts w:cstheme="minorHAnsi"/>
          <w:sz w:val="24"/>
          <w:szCs w:val="24"/>
        </w:rPr>
        <w:t xml:space="preserve">The MPI reflects the share of people in poverty and the degree to which they are deprived </w:t>
      </w:r>
      <w:r w:rsidR="00845B90" w:rsidRPr="005C6D34">
        <w:rPr>
          <w:rFonts w:cstheme="minorHAnsi"/>
          <w:sz w:val="24"/>
          <w:szCs w:val="24"/>
        </w:rPr>
        <w:t xml:space="preserve">of </w:t>
      </w:r>
      <w:r w:rsidR="005A4B91" w:rsidRPr="005C6D34">
        <w:rPr>
          <w:rFonts w:cstheme="minorHAnsi"/>
          <w:sz w:val="24"/>
          <w:szCs w:val="24"/>
        </w:rPr>
        <w:t xml:space="preserve">nutrition, </w:t>
      </w:r>
      <w:r w:rsidR="004906FF" w:rsidRPr="005C6D34">
        <w:rPr>
          <w:rFonts w:cstheme="minorHAnsi"/>
          <w:sz w:val="24"/>
          <w:szCs w:val="24"/>
        </w:rPr>
        <w:t xml:space="preserve">schooling, cooking fuels, sanitation, </w:t>
      </w:r>
      <w:r w:rsidR="00845B90" w:rsidRPr="005C6D34">
        <w:rPr>
          <w:rFonts w:cstheme="minorHAnsi"/>
          <w:sz w:val="24"/>
          <w:szCs w:val="24"/>
        </w:rPr>
        <w:t xml:space="preserve">drinking water, electricity, housing, and </w:t>
      </w:r>
      <w:r w:rsidR="000317BF" w:rsidRPr="005C6D34">
        <w:rPr>
          <w:rFonts w:cstheme="minorHAnsi"/>
          <w:sz w:val="24"/>
          <w:szCs w:val="24"/>
        </w:rPr>
        <w:t xml:space="preserve">basic household </w:t>
      </w:r>
      <w:r w:rsidR="00EC566F" w:rsidRPr="005C6D34">
        <w:rPr>
          <w:rFonts w:cstheme="minorHAnsi"/>
          <w:sz w:val="24"/>
          <w:szCs w:val="24"/>
        </w:rPr>
        <w:t xml:space="preserve">assets like radio, computer, </w:t>
      </w:r>
      <w:r w:rsidR="000317BF" w:rsidRPr="005C6D34">
        <w:rPr>
          <w:rFonts w:cstheme="minorHAnsi"/>
          <w:sz w:val="24"/>
          <w:szCs w:val="24"/>
        </w:rPr>
        <w:t xml:space="preserve">telephone, </w:t>
      </w:r>
      <w:r w:rsidR="00956303" w:rsidRPr="005C6D34">
        <w:rPr>
          <w:rFonts w:cstheme="minorHAnsi"/>
          <w:sz w:val="24"/>
          <w:szCs w:val="24"/>
        </w:rPr>
        <w:t>motor</w:t>
      </w:r>
      <w:r w:rsidR="00CE1285" w:rsidRPr="005C6D34">
        <w:rPr>
          <w:rFonts w:cstheme="minorHAnsi"/>
          <w:sz w:val="24"/>
          <w:szCs w:val="24"/>
        </w:rPr>
        <w:t xml:space="preserve">bike, </w:t>
      </w:r>
      <w:r w:rsidR="000317BF" w:rsidRPr="005C6D34">
        <w:rPr>
          <w:rFonts w:cstheme="minorHAnsi"/>
          <w:sz w:val="24"/>
          <w:szCs w:val="24"/>
        </w:rPr>
        <w:t>etc.</w:t>
      </w:r>
      <w:r w:rsidR="004907DE" w:rsidRPr="005C6D34">
        <w:rPr>
          <w:rFonts w:cstheme="minorHAnsi"/>
          <w:sz w:val="24"/>
          <w:szCs w:val="24"/>
        </w:rPr>
        <w:t xml:space="preserve"> </w:t>
      </w:r>
      <w:r w:rsidRPr="005C6D34">
        <w:rPr>
          <w:rFonts w:cstheme="minorHAnsi"/>
          <w:sz w:val="24"/>
          <w:szCs w:val="24"/>
        </w:rPr>
        <w:t xml:space="preserve">We used the published </w:t>
      </w:r>
      <w:r w:rsidR="00113EEA" w:rsidRPr="005C6D34">
        <w:rPr>
          <w:rFonts w:cstheme="minorHAnsi"/>
          <w:sz w:val="24"/>
          <w:szCs w:val="24"/>
        </w:rPr>
        <w:t>reports from</w:t>
      </w:r>
      <w:r w:rsidR="00627581" w:rsidRPr="005C6D34">
        <w:rPr>
          <w:rFonts w:cstheme="minorHAnsi"/>
          <w:sz w:val="24"/>
          <w:szCs w:val="24"/>
        </w:rPr>
        <w:t xml:space="preserve"> </w:t>
      </w:r>
      <w:r w:rsidR="004623CE" w:rsidRPr="005C6D34">
        <w:rPr>
          <w:rFonts w:cstheme="minorHAnsi"/>
          <w:sz w:val="24"/>
          <w:szCs w:val="24"/>
        </w:rPr>
        <w:t xml:space="preserve">the </w:t>
      </w:r>
      <w:r w:rsidR="00113EEA" w:rsidRPr="005C6D34">
        <w:rPr>
          <w:rFonts w:eastAsia="Times New Roman" w:cstheme="minorHAnsi"/>
          <w:color w:val="000000"/>
          <w:sz w:val="24"/>
          <w:szCs w:val="24"/>
          <w:lang w:eastAsia="en-GB"/>
        </w:rPr>
        <w:t>Independent National Electoral Commission (</w:t>
      </w:r>
      <w:r w:rsidR="00113EEA" w:rsidRPr="005C6D34">
        <w:rPr>
          <w:rFonts w:cstheme="minorHAnsi"/>
          <w:sz w:val="24"/>
          <w:szCs w:val="24"/>
        </w:rPr>
        <w:t xml:space="preserve">INEC) </w:t>
      </w:r>
      <w:r w:rsidR="004623CE" w:rsidRPr="005C6D34">
        <w:rPr>
          <w:rFonts w:cstheme="minorHAnsi"/>
          <w:sz w:val="24"/>
          <w:szCs w:val="24"/>
        </w:rPr>
        <w:t>for</w:t>
      </w:r>
      <w:r w:rsidR="00113EEA" w:rsidRPr="005C6D34">
        <w:rPr>
          <w:rFonts w:cstheme="minorHAnsi"/>
          <w:sz w:val="24"/>
          <w:szCs w:val="24"/>
        </w:rPr>
        <w:t xml:space="preserve"> the registered voters</w:t>
      </w:r>
      <w:r w:rsidRPr="005C6D34">
        <w:rPr>
          <w:rFonts w:cstheme="minorHAnsi"/>
          <w:sz w:val="24"/>
          <w:szCs w:val="24"/>
        </w:rPr>
        <w:t xml:space="preserve"> for 2019 and 2022</w:t>
      </w:r>
      <w:r w:rsidR="00C01F2B" w:rsidRPr="005C6D34">
        <w:rPr>
          <w:rStyle w:val="FootnoteReference"/>
          <w:rFonts w:cstheme="minorHAnsi"/>
          <w:sz w:val="24"/>
          <w:szCs w:val="24"/>
        </w:rPr>
        <w:footnoteReference w:id="5"/>
      </w:r>
      <w:r w:rsidRPr="005C6D34">
        <w:rPr>
          <w:rFonts w:cstheme="minorHAnsi"/>
          <w:sz w:val="24"/>
          <w:szCs w:val="24"/>
        </w:rPr>
        <w:t xml:space="preserve">. </w:t>
      </w:r>
      <w:r w:rsidR="00BE769A" w:rsidRPr="005C6D34">
        <w:rPr>
          <w:rFonts w:cstheme="minorHAnsi"/>
          <w:sz w:val="24"/>
          <w:szCs w:val="24"/>
        </w:rPr>
        <w:t xml:space="preserve">The data </w:t>
      </w:r>
      <w:r w:rsidR="00B26D37" w:rsidRPr="005C6D34">
        <w:rPr>
          <w:rFonts w:cstheme="minorHAnsi"/>
          <w:sz w:val="24"/>
          <w:szCs w:val="24"/>
        </w:rPr>
        <w:t xml:space="preserve">for </w:t>
      </w:r>
      <w:r w:rsidR="002B7EB0" w:rsidRPr="005C6D34">
        <w:rPr>
          <w:rFonts w:cstheme="minorHAnsi"/>
          <w:sz w:val="24"/>
          <w:szCs w:val="24"/>
        </w:rPr>
        <w:t>religion across subnational governments</w:t>
      </w:r>
      <w:r w:rsidR="000711BB" w:rsidRPr="005C6D34">
        <w:rPr>
          <w:rFonts w:cstheme="minorHAnsi"/>
          <w:sz w:val="24"/>
          <w:szCs w:val="24"/>
        </w:rPr>
        <w:t xml:space="preserve"> in Nigeri</w:t>
      </w:r>
      <w:r w:rsidR="00B26D37" w:rsidRPr="005C6D34">
        <w:rPr>
          <w:rFonts w:cstheme="minorHAnsi"/>
          <w:sz w:val="24"/>
          <w:szCs w:val="24"/>
        </w:rPr>
        <w:t xml:space="preserve">a was adopted from the empirical estimates of </w:t>
      </w:r>
      <w:proofErr w:type="spellStart"/>
      <w:r w:rsidR="00B26D37" w:rsidRPr="005C6D34">
        <w:rPr>
          <w:rFonts w:cstheme="minorHAnsi"/>
          <w:sz w:val="24"/>
          <w:szCs w:val="24"/>
        </w:rPr>
        <w:t>Ostein</w:t>
      </w:r>
      <w:proofErr w:type="spellEnd"/>
      <w:r w:rsidR="00B26D37" w:rsidRPr="005C6D34">
        <w:rPr>
          <w:rFonts w:cstheme="minorHAnsi"/>
          <w:sz w:val="24"/>
          <w:szCs w:val="24"/>
        </w:rPr>
        <w:t xml:space="preserve"> (2012)</w:t>
      </w:r>
      <w:r w:rsidR="009D3870" w:rsidRPr="005C6D34">
        <w:rPr>
          <w:rFonts w:cstheme="minorHAnsi"/>
          <w:sz w:val="24"/>
          <w:szCs w:val="24"/>
        </w:rPr>
        <w:t>,</w:t>
      </w:r>
      <w:r w:rsidR="004315C6" w:rsidRPr="005C6D34">
        <w:rPr>
          <w:rFonts w:cstheme="minorHAnsi"/>
          <w:sz w:val="24"/>
          <w:szCs w:val="24"/>
        </w:rPr>
        <w:t xml:space="preserve"> as religion </w:t>
      </w:r>
      <w:r w:rsidR="008800F2" w:rsidRPr="005C6D34">
        <w:rPr>
          <w:rFonts w:cstheme="minorHAnsi"/>
          <w:sz w:val="24"/>
          <w:szCs w:val="24"/>
        </w:rPr>
        <w:t>is not recorded</w:t>
      </w:r>
      <w:r w:rsidR="007E640C" w:rsidRPr="005C6D34">
        <w:rPr>
          <w:rFonts w:cstheme="minorHAnsi"/>
          <w:sz w:val="24"/>
          <w:szCs w:val="24"/>
        </w:rPr>
        <w:t xml:space="preserve"> </w:t>
      </w:r>
      <w:r w:rsidR="008C660A" w:rsidRPr="005C6D34">
        <w:rPr>
          <w:rFonts w:cstheme="minorHAnsi"/>
          <w:sz w:val="24"/>
          <w:szCs w:val="24"/>
        </w:rPr>
        <w:t xml:space="preserve">in </w:t>
      </w:r>
      <w:r w:rsidR="007E640C" w:rsidRPr="005C6D34">
        <w:rPr>
          <w:rFonts w:cstheme="minorHAnsi"/>
          <w:sz w:val="24"/>
          <w:szCs w:val="24"/>
        </w:rPr>
        <w:t xml:space="preserve">the country’s </w:t>
      </w:r>
      <w:r w:rsidR="008800F2" w:rsidRPr="005C6D34">
        <w:rPr>
          <w:rFonts w:cstheme="minorHAnsi"/>
          <w:sz w:val="24"/>
          <w:szCs w:val="24"/>
        </w:rPr>
        <w:t xml:space="preserve">official population </w:t>
      </w:r>
      <w:r w:rsidR="007E640C" w:rsidRPr="005C6D34">
        <w:rPr>
          <w:rFonts w:cstheme="minorHAnsi"/>
          <w:sz w:val="24"/>
          <w:szCs w:val="24"/>
        </w:rPr>
        <w:t>census.</w:t>
      </w:r>
    </w:p>
    <w:p w14:paraId="42F16BEB" w14:textId="76F857EB" w:rsidR="00BA1BAB" w:rsidRPr="005C6D34" w:rsidRDefault="00C310DB" w:rsidP="000A687F">
      <w:pPr>
        <w:spacing w:line="360" w:lineRule="auto"/>
        <w:jc w:val="both"/>
        <w:rPr>
          <w:rFonts w:cstheme="minorHAnsi"/>
          <w:sz w:val="24"/>
          <w:szCs w:val="24"/>
        </w:rPr>
      </w:pPr>
      <w:r w:rsidRPr="005C6D34">
        <w:rPr>
          <w:rFonts w:cstheme="minorHAnsi"/>
          <w:sz w:val="24"/>
          <w:szCs w:val="24"/>
        </w:rPr>
        <w:t xml:space="preserve"> </w:t>
      </w:r>
      <w:r w:rsidR="00AE743D" w:rsidRPr="005C6D34">
        <w:rPr>
          <w:rFonts w:cstheme="minorHAnsi"/>
          <w:sz w:val="24"/>
          <w:szCs w:val="24"/>
        </w:rPr>
        <w:t xml:space="preserve">Internet </w:t>
      </w:r>
      <w:r w:rsidR="00A568B9" w:rsidRPr="005C6D34">
        <w:rPr>
          <w:rFonts w:cstheme="minorHAnsi"/>
          <w:sz w:val="24"/>
          <w:szCs w:val="24"/>
        </w:rPr>
        <w:t>connection</w:t>
      </w:r>
      <w:r w:rsidR="00AE743D" w:rsidRPr="005C6D34">
        <w:rPr>
          <w:rFonts w:cstheme="minorHAnsi"/>
          <w:sz w:val="24"/>
          <w:szCs w:val="24"/>
        </w:rPr>
        <w:t xml:space="preserve"> data </w:t>
      </w:r>
      <w:r w:rsidR="0007010E" w:rsidRPr="005C6D34">
        <w:rPr>
          <w:rFonts w:cstheme="minorHAnsi"/>
          <w:sz w:val="24"/>
          <w:szCs w:val="24"/>
        </w:rPr>
        <w:t xml:space="preserve">was </w:t>
      </w:r>
      <w:r w:rsidR="00270053" w:rsidRPr="005C6D34">
        <w:rPr>
          <w:rFonts w:cstheme="minorHAnsi"/>
          <w:sz w:val="24"/>
          <w:szCs w:val="24"/>
        </w:rPr>
        <w:t>retrieved</w:t>
      </w:r>
      <w:r w:rsidR="0007010E" w:rsidRPr="005C6D34">
        <w:rPr>
          <w:rFonts w:cstheme="minorHAnsi"/>
          <w:sz w:val="24"/>
          <w:szCs w:val="24"/>
        </w:rPr>
        <w:t xml:space="preserve"> from </w:t>
      </w:r>
      <w:r w:rsidR="00270053" w:rsidRPr="005C6D34">
        <w:rPr>
          <w:rFonts w:cstheme="minorHAnsi"/>
          <w:sz w:val="24"/>
          <w:szCs w:val="24"/>
        </w:rPr>
        <w:t xml:space="preserve">the NBS publication of </w:t>
      </w:r>
      <w:r w:rsidR="00545FAB" w:rsidRPr="005C6D34">
        <w:rPr>
          <w:rFonts w:cstheme="minorHAnsi"/>
          <w:sz w:val="24"/>
          <w:szCs w:val="24"/>
        </w:rPr>
        <w:t>Telecoms figures for Q4 2021</w:t>
      </w:r>
      <w:r w:rsidR="00711F8C" w:rsidRPr="005C6D34">
        <w:rPr>
          <w:rFonts w:cstheme="minorHAnsi"/>
          <w:sz w:val="24"/>
          <w:szCs w:val="24"/>
        </w:rPr>
        <w:t>. We used the active internet connectivity at sub-national level</w:t>
      </w:r>
      <w:r w:rsidR="008F489B" w:rsidRPr="005C6D34">
        <w:rPr>
          <w:rFonts w:cstheme="minorHAnsi"/>
          <w:sz w:val="24"/>
          <w:szCs w:val="24"/>
        </w:rPr>
        <w:t xml:space="preserve">. We estimated the internet </w:t>
      </w:r>
      <w:r w:rsidR="00623999" w:rsidRPr="005C6D34">
        <w:rPr>
          <w:rFonts w:cstheme="minorHAnsi"/>
          <w:sz w:val="24"/>
          <w:szCs w:val="24"/>
        </w:rPr>
        <w:t>connection</w:t>
      </w:r>
      <w:r w:rsidR="008F489B" w:rsidRPr="005C6D34">
        <w:rPr>
          <w:rFonts w:cstheme="minorHAnsi"/>
          <w:sz w:val="24"/>
          <w:szCs w:val="24"/>
        </w:rPr>
        <w:t xml:space="preserve"> per head by dividing </w:t>
      </w:r>
      <w:r w:rsidR="00404BAF" w:rsidRPr="005C6D34">
        <w:rPr>
          <w:rFonts w:cstheme="minorHAnsi"/>
          <w:sz w:val="24"/>
          <w:szCs w:val="24"/>
        </w:rPr>
        <w:t xml:space="preserve">the active connection by the population </w:t>
      </w:r>
      <w:r w:rsidR="004907DE" w:rsidRPr="005C6D34">
        <w:rPr>
          <w:rFonts w:cstheme="minorHAnsi"/>
          <w:sz w:val="24"/>
          <w:szCs w:val="24"/>
        </w:rPr>
        <w:t xml:space="preserve">figures in each State. </w:t>
      </w:r>
      <w:r w:rsidR="002F09EF" w:rsidRPr="005C6D34">
        <w:rPr>
          <w:rFonts w:cstheme="minorHAnsi"/>
          <w:sz w:val="24"/>
          <w:szCs w:val="24"/>
        </w:rPr>
        <w:t>The s</w:t>
      </w:r>
      <w:r w:rsidR="00BA1BAB" w:rsidRPr="005C6D34">
        <w:rPr>
          <w:rFonts w:cstheme="minorHAnsi"/>
          <w:sz w:val="24"/>
          <w:szCs w:val="24"/>
        </w:rPr>
        <w:t>ocial media user</w:t>
      </w:r>
      <w:r w:rsidR="002F09EF" w:rsidRPr="005C6D34">
        <w:rPr>
          <w:rFonts w:cstheme="minorHAnsi"/>
          <w:sz w:val="24"/>
          <w:szCs w:val="24"/>
        </w:rPr>
        <w:t xml:space="preserve"> data was</w:t>
      </w:r>
      <w:r w:rsidR="00BA1BAB" w:rsidRPr="005C6D34">
        <w:rPr>
          <w:rFonts w:cstheme="minorHAnsi"/>
          <w:sz w:val="24"/>
          <w:szCs w:val="24"/>
        </w:rPr>
        <w:t xml:space="preserve"> sourced from </w:t>
      </w:r>
      <w:proofErr w:type="spellStart"/>
      <w:r w:rsidR="00BA1BAB" w:rsidRPr="005C6D34">
        <w:rPr>
          <w:rFonts w:cstheme="minorHAnsi"/>
          <w:i/>
          <w:sz w:val="24"/>
          <w:szCs w:val="24"/>
        </w:rPr>
        <w:t>Statcounter</w:t>
      </w:r>
      <w:proofErr w:type="spellEnd"/>
      <w:r w:rsidR="00BA1BAB" w:rsidRPr="005C6D34">
        <w:rPr>
          <w:rFonts w:cstheme="minorHAnsi"/>
          <w:sz w:val="24"/>
          <w:szCs w:val="24"/>
        </w:rPr>
        <w:t xml:space="preserve">. The website sources its data directly from the respective social platforms marketing APIs. </w:t>
      </w:r>
      <w:proofErr w:type="spellStart"/>
      <w:r w:rsidR="00BA1BAB" w:rsidRPr="005C6D34">
        <w:rPr>
          <w:rFonts w:cstheme="minorHAnsi"/>
          <w:bCs/>
          <w:iCs/>
          <w:sz w:val="24"/>
          <w:szCs w:val="24"/>
        </w:rPr>
        <w:t>Statcounter</w:t>
      </w:r>
      <w:proofErr w:type="spellEnd"/>
      <w:r w:rsidR="00BA1BAB" w:rsidRPr="005C6D34">
        <w:rPr>
          <w:rFonts w:cstheme="minorHAnsi"/>
          <w:sz w:val="24"/>
          <w:szCs w:val="24"/>
        </w:rPr>
        <w:t xml:space="preserve"> aggregate statistics </w:t>
      </w:r>
      <w:r w:rsidR="00410A62" w:rsidRPr="005C6D34">
        <w:rPr>
          <w:rFonts w:cstheme="minorHAnsi"/>
          <w:sz w:val="24"/>
          <w:szCs w:val="24"/>
        </w:rPr>
        <w:t>are</w:t>
      </w:r>
      <w:r w:rsidR="00BA1BAB" w:rsidRPr="005C6D34">
        <w:rPr>
          <w:rFonts w:cstheme="minorHAnsi"/>
          <w:sz w:val="24"/>
          <w:szCs w:val="24"/>
        </w:rPr>
        <w:t xml:space="preserve"> based on a sample of more than </w:t>
      </w:r>
      <w:r w:rsidR="00D314B3" w:rsidRPr="005C6D34">
        <w:rPr>
          <w:rFonts w:cstheme="minorHAnsi"/>
          <w:sz w:val="24"/>
          <w:szCs w:val="24"/>
        </w:rPr>
        <w:t>five</w:t>
      </w:r>
      <w:r w:rsidR="00BA1BAB" w:rsidRPr="005C6D34">
        <w:rPr>
          <w:rFonts w:cstheme="minorHAnsi"/>
          <w:sz w:val="24"/>
          <w:szCs w:val="24"/>
        </w:rPr>
        <w:t xml:space="preserve"> billion visits each month collected from throughout the network of more than 1.5 million websites</w:t>
      </w:r>
      <w:r w:rsidR="002F09EF" w:rsidRPr="005C6D34">
        <w:rPr>
          <w:rFonts w:cstheme="minorHAnsi"/>
          <w:sz w:val="24"/>
          <w:szCs w:val="24"/>
        </w:rPr>
        <w:t>.</w:t>
      </w:r>
      <w:r w:rsidR="00BA1BAB" w:rsidRPr="005C6D34">
        <w:rPr>
          <w:rFonts w:cstheme="minorHAnsi"/>
          <w:sz w:val="24"/>
          <w:szCs w:val="24"/>
        </w:rPr>
        <w:t xml:space="preserve"> Statistics are updated </w:t>
      </w:r>
      <w:r w:rsidR="00D314B3" w:rsidRPr="005C6D34">
        <w:rPr>
          <w:rFonts w:cstheme="minorHAnsi"/>
          <w:sz w:val="24"/>
          <w:szCs w:val="24"/>
        </w:rPr>
        <w:t>and</w:t>
      </w:r>
      <w:r w:rsidR="00BA1BAB" w:rsidRPr="005C6D34">
        <w:rPr>
          <w:rFonts w:cstheme="minorHAnsi"/>
          <w:sz w:val="24"/>
          <w:szCs w:val="24"/>
        </w:rPr>
        <w:t xml:space="preserve"> made available </w:t>
      </w:r>
      <w:r w:rsidR="00410A62" w:rsidRPr="005C6D34">
        <w:rPr>
          <w:rFonts w:cstheme="minorHAnsi"/>
          <w:sz w:val="24"/>
          <w:szCs w:val="24"/>
        </w:rPr>
        <w:t>daily</w:t>
      </w:r>
      <w:r w:rsidR="00BA1BAB" w:rsidRPr="005C6D34">
        <w:rPr>
          <w:rFonts w:cstheme="minorHAnsi"/>
          <w:sz w:val="24"/>
          <w:szCs w:val="24"/>
        </w:rPr>
        <w:t xml:space="preserve">. The </w:t>
      </w:r>
      <w:r w:rsidR="00D86D8A" w:rsidRPr="005C6D34">
        <w:rPr>
          <w:rFonts w:cstheme="minorHAnsi"/>
          <w:sz w:val="24"/>
          <w:szCs w:val="24"/>
        </w:rPr>
        <w:t xml:space="preserve">lag in the data is subject to quality assurance testing </w:t>
      </w:r>
      <w:r w:rsidR="00D314B3" w:rsidRPr="005C6D34">
        <w:rPr>
          <w:rFonts w:cstheme="minorHAnsi"/>
          <w:sz w:val="24"/>
          <w:szCs w:val="24"/>
        </w:rPr>
        <w:t>and</w:t>
      </w:r>
      <w:r w:rsidR="00D86D8A" w:rsidRPr="005C6D34">
        <w:rPr>
          <w:rFonts w:cstheme="minorHAnsi"/>
          <w:sz w:val="24"/>
          <w:szCs w:val="24"/>
        </w:rPr>
        <w:t xml:space="preserve"> reviews</w:t>
      </w:r>
      <w:r w:rsidR="00BA1BAB" w:rsidRPr="005C6D34">
        <w:rPr>
          <w:rFonts w:cstheme="minorHAnsi"/>
          <w:sz w:val="24"/>
          <w:szCs w:val="24"/>
        </w:rPr>
        <w:t xml:space="preserve"> for 45 days fo</w:t>
      </w:r>
      <w:r w:rsidR="00B0786C" w:rsidRPr="005C6D34">
        <w:rPr>
          <w:rFonts w:cstheme="minorHAnsi"/>
          <w:sz w:val="24"/>
          <w:szCs w:val="24"/>
        </w:rPr>
        <w:t>llowing release.</w:t>
      </w:r>
    </w:p>
    <w:p w14:paraId="0F7E98E2" w14:textId="40767ACC" w:rsidR="2860C9CF" w:rsidRPr="005C6D34" w:rsidRDefault="00CE6A20" w:rsidP="0089105F">
      <w:pPr>
        <w:pStyle w:val="ListParagraph"/>
        <w:numPr>
          <w:ilvl w:val="0"/>
          <w:numId w:val="5"/>
        </w:numPr>
        <w:spacing w:after="0" w:line="360" w:lineRule="auto"/>
        <w:jc w:val="both"/>
        <w:rPr>
          <w:rFonts w:cstheme="minorHAnsi"/>
          <w:b/>
          <w:bCs/>
          <w:sz w:val="24"/>
          <w:szCs w:val="24"/>
        </w:rPr>
      </w:pPr>
      <w:r w:rsidRPr="005C6D34">
        <w:rPr>
          <w:rFonts w:cstheme="minorHAnsi"/>
          <w:b/>
          <w:bCs/>
          <w:sz w:val="24"/>
          <w:szCs w:val="24"/>
        </w:rPr>
        <w:lastRenderedPageBreak/>
        <w:t>Data Analysis</w:t>
      </w:r>
    </w:p>
    <w:p w14:paraId="5841A7FF" w14:textId="5A1FC5D0" w:rsidR="0038313B" w:rsidRPr="005C6D34" w:rsidRDefault="007518CB" w:rsidP="00D314B3">
      <w:pPr>
        <w:spacing w:line="360" w:lineRule="auto"/>
        <w:jc w:val="both"/>
        <w:rPr>
          <w:rFonts w:cstheme="minorHAnsi"/>
          <w:sz w:val="24"/>
          <w:szCs w:val="24"/>
        </w:rPr>
      </w:pPr>
      <w:r w:rsidRPr="005C6D34">
        <w:rPr>
          <w:rFonts w:cstheme="minorHAnsi"/>
          <w:sz w:val="24"/>
          <w:szCs w:val="24"/>
        </w:rPr>
        <w:t xml:space="preserve">In this section, we present the results of our findings using descriptive </w:t>
      </w:r>
      <w:r w:rsidR="00D314B3" w:rsidRPr="005C6D34">
        <w:rPr>
          <w:rFonts w:cstheme="minorHAnsi"/>
          <w:sz w:val="24"/>
          <w:szCs w:val="24"/>
        </w:rPr>
        <w:t>and</w:t>
      </w:r>
      <w:r w:rsidRPr="005C6D34">
        <w:rPr>
          <w:rFonts w:cstheme="minorHAnsi"/>
          <w:sz w:val="24"/>
          <w:szCs w:val="24"/>
        </w:rPr>
        <w:t xml:space="preserve"> inferential data to link socio</w:t>
      </w:r>
      <w:r w:rsidR="00D314B3" w:rsidRPr="005C6D34">
        <w:rPr>
          <w:rFonts w:cstheme="minorHAnsi"/>
          <w:sz w:val="24"/>
          <w:szCs w:val="24"/>
        </w:rPr>
        <w:t>-</w:t>
      </w:r>
      <w:r w:rsidRPr="005C6D34">
        <w:rPr>
          <w:rFonts w:cstheme="minorHAnsi"/>
          <w:sz w:val="24"/>
          <w:szCs w:val="24"/>
        </w:rPr>
        <w:t xml:space="preserve">economic factors </w:t>
      </w:r>
      <w:r w:rsidR="00D314B3" w:rsidRPr="005C6D34">
        <w:rPr>
          <w:rFonts w:cstheme="minorHAnsi"/>
          <w:sz w:val="24"/>
          <w:szCs w:val="24"/>
        </w:rPr>
        <w:t>and</w:t>
      </w:r>
      <w:r w:rsidRPr="005C6D34">
        <w:rPr>
          <w:rFonts w:cstheme="minorHAnsi"/>
          <w:sz w:val="24"/>
          <w:szCs w:val="24"/>
        </w:rPr>
        <w:t xml:space="preserve"> voting in Nigeria. </w:t>
      </w:r>
      <w:r w:rsidR="00D314B3" w:rsidRPr="005C6D34">
        <w:rPr>
          <w:rFonts w:cstheme="minorHAnsi"/>
          <w:sz w:val="24"/>
          <w:szCs w:val="24"/>
        </w:rPr>
        <w:t xml:space="preserve">The </w:t>
      </w:r>
      <w:r w:rsidRPr="005C6D34">
        <w:rPr>
          <w:rFonts w:cstheme="minorHAnsi"/>
          <w:sz w:val="24"/>
          <w:szCs w:val="24"/>
        </w:rPr>
        <w:t xml:space="preserve">World Population Prospects data (2022) estimates </w:t>
      </w:r>
      <w:r w:rsidR="005D1207" w:rsidRPr="005C6D34">
        <w:rPr>
          <w:rFonts w:cstheme="minorHAnsi"/>
          <w:sz w:val="24"/>
          <w:szCs w:val="24"/>
        </w:rPr>
        <w:t xml:space="preserve">that </w:t>
      </w:r>
      <w:r w:rsidRPr="005C6D34">
        <w:rPr>
          <w:rFonts w:cstheme="minorHAnsi"/>
          <w:sz w:val="24"/>
          <w:szCs w:val="24"/>
        </w:rPr>
        <w:t>Nigeria</w:t>
      </w:r>
      <w:r w:rsidR="00A03141" w:rsidRPr="005C6D34">
        <w:rPr>
          <w:rFonts w:cstheme="minorHAnsi"/>
          <w:sz w:val="24"/>
          <w:szCs w:val="24"/>
        </w:rPr>
        <w:t>’</w:t>
      </w:r>
      <w:r w:rsidRPr="005C6D34">
        <w:rPr>
          <w:rFonts w:cstheme="minorHAnsi"/>
          <w:sz w:val="24"/>
          <w:szCs w:val="24"/>
        </w:rPr>
        <w:t xml:space="preserve">s total population is </w:t>
      </w:r>
      <w:r w:rsidRPr="005C6D34">
        <w:rPr>
          <w:rFonts w:eastAsia="Times New Roman" w:cstheme="minorHAnsi"/>
          <w:color w:val="000000"/>
          <w:sz w:val="24"/>
          <w:szCs w:val="24"/>
          <w:lang w:eastAsia="en-GB"/>
        </w:rPr>
        <w:t>219,867,000</w:t>
      </w:r>
      <w:r w:rsidRPr="005C6D34">
        <w:rPr>
          <w:rFonts w:cstheme="minorHAnsi"/>
          <w:sz w:val="24"/>
          <w:szCs w:val="24"/>
        </w:rPr>
        <w:t xml:space="preserve">. </w:t>
      </w:r>
      <w:r w:rsidR="002A2430" w:rsidRPr="005C6D34">
        <w:rPr>
          <w:rFonts w:cstheme="minorHAnsi"/>
          <w:sz w:val="24"/>
          <w:szCs w:val="24"/>
        </w:rPr>
        <w:t xml:space="preserve">The share of registered voters across the states is </w:t>
      </w:r>
      <w:r w:rsidR="002A2430" w:rsidRPr="005C6D34">
        <w:rPr>
          <w:rFonts w:eastAsia="Times New Roman" w:cstheme="minorHAnsi"/>
          <w:color w:val="000000"/>
          <w:sz w:val="24"/>
          <w:szCs w:val="24"/>
          <w:lang w:eastAsia="en-GB"/>
        </w:rPr>
        <w:t>96,302,668. Th</w:t>
      </w:r>
      <w:r w:rsidR="007C63D2" w:rsidRPr="005C6D34">
        <w:rPr>
          <w:rFonts w:eastAsia="Times New Roman" w:cstheme="minorHAnsi"/>
          <w:color w:val="000000"/>
          <w:sz w:val="24"/>
          <w:szCs w:val="24"/>
          <w:lang w:eastAsia="en-GB"/>
        </w:rPr>
        <w:t>e</w:t>
      </w:r>
      <w:r w:rsidR="002A2430" w:rsidRPr="005C6D34">
        <w:rPr>
          <w:rFonts w:eastAsia="Times New Roman" w:cstheme="minorHAnsi"/>
          <w:color w:val="000000"/>
          <w:sz w:val="24"/>
          <w:szCs w:val="24"/>
          <w:lang w:eastAsia="en-GB"/>
        </w:rPr>
        <w:t xml:space="preserve"> figure is derived from the number of existing 2019 registered voters – 84,004,084 – and the number of newly registered voters for the 2023 elections (INEC, 2022).</w:t>
      </w:r>
      <w:r w:rsidR="00DE7839" w:rsidRPr="005C6D34">
        <w:rPr>
          <w:rFonts w:eastAsia="Times New Roman" w:cstheme="minorHAnsi"/>
          <w:color w:val="000000"/>
          <w:sz w:val="24"/>
          <w:szCs w:val="24"/>
          <w:lang w:eastAsia="en-GB"/>
        </w:rPr>
        <w:t xml:space="preserve"> </w:t>
      </w:r>
      <w:r w:rsidR="00D75F17" w:rsidRPr="005C6D34">
        <w:rPr>
          <w:rFonts w:cstheme="minorHAnsi"/>
          <w:sz w:val="24"/>
          <w:szCs w:val="24"/>
        </w:rPr>
        <w:t>Given the polarised nature of Nigeria, w</w:t>
      </w:r>
      <w:r w:rsidR="007F6CB2" w:rsidRPr="005C6D34">
        <w:rPr>
          <w:rFonts w:cstheme="minorHAnsi"/>
          <w:sz w:val="24"/>
          <w:szCs w:val="24"/>
        </w:rPr>
        <w:t xml:space="preserve">e use the six </w:t>
      </w:r>
      <w:r w:rsidR="00C22800" w:rsidRPr="005C6D34">
        <w:rPr>
          <w:rFonts w:cstheme="minorHAnsi"/>
          <w:sz w:val="24"/>
          <w:szCs w:val="24"/>
        </w:rPr>
        <w:t>geo-political zone</w:t>
      </w:r>
      <w:r w:rsidR="009F0226" w:rsidRPr="005C6D34">
        <w:rPr>
          <w:rFonts w:cstheme="minorHAnsi"/>
          <w:sz w:val="24"/>
          <w:szCs w:val="24"/>
        </w:rPr>
        <w:t>s to</w:t>
      </w:r>
      <w:r w:rsidR="00D75F17" w:rsidRPr="005C6D34">
        <w:rPr>
          <w:rFonts w:cstheme="minorHAnsi"/>
          <w:sz w:val="24"/>
          <w:szCs w:val="24"/>
        </w:rPr>
        <w:t xml:space="preserve"> </w:t>
      </w:r>
      <w:r w:rsidR="00492C55" w:rsidRPr="005C6D34">
        <w:rPr>
          <w:rFonts w:cstheme="minorHAnsi"/>
          <w:sz w:val="24"/>
          <w:szCs w:val="24"/>
        </w:rPr>
        <w:t xml:space="preserve">analyse </w:t>
      </w:r>
      <w:r w:rsidR="00D75F17" w:rsidRPr="005C6D34">
        <w:rPr>
          <w:rFonts w:cstheme="minorHAnsi"/>
          <w:sz w:val="24"/>
          <w:szCs w:val="24"/>
        </w:rPr>
        <w:t>our data.</w:t>
      </w:r>
      <w:r w:rsidR="0009653B" w:rsidRPr="005C6D34">
        <w:rPr>
          <w:rFonts w:cstheme="minorHAnsi"/>
          <w:sz w:val="24"/>
          <w:szCs w:val="24"/>
        </w:rPr>
        <w:t xml:space="preserve"> </w:t>
      </w:r>
      <w:r w:rsidR="00E65D52" w:rsidRPr="005C6D34">
        <w:rPr>
          <w:rFonts w:cstheme="minorHAnsi"/>
          <w:sz w:val="24"/>
          <w:szCs w:val="24"/>
        </w:rPr>
        <w:t>T</w:t>
      </w:r>
      <w:r w:rsidR="0009653B" w:rsidRPr="005C6D34">
        <w:rPr>
          <w:rFonts w:cstheme="minorHAnsi"/>
          <w:sz w:val="24"/>
          <w:szCs w:val="24"/>
        </w:rPr>
        <w:t>he</w:t>
      </w:r>
      <w:r w:rsidR="00E65D52" w:rsidRPr="005C6D34">
        <w:rPr>
          <w:rFonts w:cstheme="minorHAnsi"/>
          <w:sz w:val="24"/>
          <w:szCs w:val="24"/>
        </w:rPr>
        <w:t xml:space="preserve"> geo-political zones are </w:t>
      </w:r>
      <w:r w:rsidR="0070699D" w:rsidRPr="005C6D34">
        <w:rPr>
          <w:rFonts w:cstheme="minorHAnsi"/>
          <w:sz w:val="24"/>
          <w:szCs w:val="24"/>
        </w:rPr>
        <w:t>taken</w:t>
      </w:r>
      <w:r w:rsidR="00E65D52" w:rsidRPr="005C6D34">
        <w:rPr>
          <w:rFonts w:cstheme="minorHAnsi"/>
          <w:sz w:val="24"/>
          <w:szCs w:val="24"/>
        </w:rPr>
        <w:t xml:space="preserve"> from </w:t>
      </w:r>
      <w:r w:rsidR="00322C13" w:rsidRPr="005C6D34">
        <w:rPr>
          <w:rFonts w:cstheme="minorHAnsi"/>
          <w:sz w:val="24"/>
          <w:szCs w:val="24"/>
        </w:rPr>
        <w:t>the northern</w:t>
      </w:r>
      <w:r w:rsidR="0070699D" w:rsidRPr="005C6D34">
        <w:rPr>
          <w:rFonts w:cstheme="minorHAnsi"/>
          <w:sz w:val="24"/>
          <w:szCs w:val="24"/>
        </w:rPr>
        <w:t xml:space="preserve"> region</w:t>
      </w:r>
      <w:r w:rsidR="00322C13" w:rsidRPr="005C6D34">
        <w:rPr>
          <w:rFonts w:cstheme="minorHAnsi"/>
          <w:sz w:val="24"/>
          <w:szCs w:val="24"/>
        </w:rPr>
        <w:t xml:space="preserve"> and southern region</w:t>
      </w:r>
      <w:r w:rsidR="00C73E8A" w:rsidRPr="005C6D34">
        <w:rPr>
          <w:rFonts w:cstheme="minorHAnsi"/>
          <w:sz w:val="24"/>
          <w:szCs w:val="24"/>
        </w:rPr>
        <w:t xml:space="preserve">, </w:t>
      </w:r>
      <w:r w:rsidR="003A0175" w:rsidRPr="005C6D34">
        <w:rPr>
          <w:rFonts w:cstheme="minorHAnsi"/>
          <w:sz w:val="24"/>
          <w:szCs w:val="24"/>
        </w:rPr>
        <w:t xml:space="preserve">each </w:t>
      </w:r>
      <w:r w:rsidR="00C73E8A" w:rsidRPr="005C6D34">
        <w:rPr>
          <w:rFonts w:cstheme="minorHAnsi"/>
          <w:sz w:val="24"/>
          <w:szCs w:val="24"/>
        </w:rPr>
        <w:t>divided into three</w:t>
      </w:r>
      <w:r w:rsidR="003A0175" w:rsidRPr="005C6D34">
        <w:rPr>
          <w:rFonts w:cstheme="minorHAnsi"/>
          <w:sz w:val="24"/>
          <w:szCs w:val="24"/>
        </w:rPr>
        <w:t xml:space="preserve"> zones</w:t>
      </w:r>
      <w:r w:rsidR="0070699D" w:rsidRPr="005C6D34">
        <w:rPr>
          <w:rFonts w:cstheme="minorHAnsi"/>
          <w:sz w:val="24"/>
          <w:szCs w:val="24"/>
        </w:rPr>
        <w:t>.</w:t>
      </w:r>
      <w:r w:rsidR="00D75F17" w:rsidRPr="005C6D34">
        <w:rPr>
          <w:rFonts w:cstheme="minorHAnsi"/>
          <w:sz w:val="24"/>
          <w:szCs w:val="24"/>
        </w:rPr>
        <w:t xml:space="preserve"> </w:t>
      </w:r>
      <w:r w:rsidR="00BD6644" w:rsidRPr="005C6D34">
        <w:rPr>
          <w:rFonts w:cstheme="minorHAnsi"/>
          <w:sz w:val="24"/>
          <w:szCs w:val="24"/>
        </w:rPr>
        <w:t xml:space="preserve">The northern </w:t>
      </w:r>
      <w:r w:rsidR="00C22800" w:rsidRPr="005C6D34">
        <w:rPr>
          <w:rFonts w:cstheme="minorHAnsi"/>
          <w:sz w:val="24"/>
          <w:szCs w:val="24"/>
        </w:rPr>
        <w:t>geo-political zone</w:t>
      </w:r>
      <w:r w:rsidR="00BD6644" w:rsidRPr="005C6D34">
        <w:rPr>
          <w:rFonts w:cstheme="minorHAnsi"/>
          <w:sz w:val="24"/>
          <w:szCs w:val="24"/>
        </w:rPr>
        <w:t xml:space="preserve">s </w:t>
      </w:r>
      <w:r w:rsidR="003A0175" w:rsidRPr="005C6D34">
        <w:rPr>
          <w:rFonts w:cstheme="minorHAnsi"/>
          <w:sz w:val="24"/>
          <w:szCs w:val="24"/>
        </w:rPr>
        <w:t>compris</w:t>
      </w:r>
      <w:r w:rsidR="00F51419" w:rsidRPr="005C6D34">
        <w:rPr>
          <w:rFonts w:cstheme="minorHAnsi"/>
          <w:sz w:val="24"/>
          <w:szCs w:val="24"/>
        </w:rPr>
        <w:t>e</w:t>
      </w:r>
      <w:r w:rsidR="003A0175" w:rsidRPr="005C6D34">
        <w:rPr>
          <w:rFonts w:cstheme="minorHAnsi"/>
          <w:sz w:val="24"/>
          <w:szCs w:val="24"/>
        </w:rPr>
        <w:t xml:space="preserve"> the</w:t>
      </w:r>
      <w:r w:rsidR="00BD6644" w:rsidRPr="005C6D34">
        <w:rPr>
          <w:rFonts w:cstheme="minorHAnsi"/>
          <w:sz w:val="24"/>
          <w:szCs w:val="24"/>
        </w:rPr>
        <w:t xml:space="preserve"> North-Central (NC), North-East (NE), and North-West (NW). The southern </w:t>
      </w:r>
      <w:r w:rsidR="00C22800" w:rsidRPr="005C6D34">
        <w:rPr>
          <w:rFonts w:cstheme="minorHAnsi"/>
          <w:sz w:val="24"/>
          <w:szCs w:val="24"/>
        </w:rPr>
        <w:t>geo-political zone</w:t>
      </w:r>
      <w:r w:rsidR="007E393A" w:rsidRPr="005C6D34">
        <w:rPr>
          <w:rFonts w:cstheme="minorHAnsi"/>
          <w:sz w:val="24"/>
          <w:szCs w:val="24"/>
        </w:rPr>
        <w:t>s are South-East (SE), South-South (SS), and South-West (SW).</w:t>
      </w:r>
    </w:p>
    <w:p w14:paraId="661AA636" w14:textId="77777777" w:rsidR="00CA723D" w:rsidRPr="005C6D34" w:rsidRDefault="00CA723D" w:rsidP="00CA723D">
      <w:pPr>
        <w:spacing w:line="360" w:lineRule="auto"/>
        <w:jc w:val="both"/>
        <w:rPr>
          <w:rFonts w:cstheme="minorHAnsi"/>
          <w:sz w:val="24"/>
          <w:szCs w:val="24"/>
        </w:rPr>
      </w:pPr>
      <w:r w:rsidRPr="005C6D34">
        <w:rPr>
          <w:rFonts w:cstheme="minorHAnsi"/>
          <w:sz w:val="24"/>
          <w:szCs w:val="24"/>
        </w:rPr>
        <w:t xml:space="preserve">The geo-political zones are divided within ethnic zones. The northern region is more religiously conservative, with the Hausa &amp; Fulani people forming the majority in the NW &amp; the Kanuri people in the NE. Women in northern Nigeria gained the vote decades later than women in southern Nigeria, with universal suffrage not achieved until 1979. The primarily Christian Igbo are the largest ethnic grouping in the SE, where traditions are less centralised and more egalitarian, and there is a tense history of separatism from the rest of Nigeria. The more religiously diverse Yoruba people are the largest group in the SW, where identity is heavily influenced by regional culture &amp; values. </w:t>
      </w:r>
    </w:p>
    <w:p w14:paraId="715B4107" w14:textId="71D2E34A" w:rsidR="0038313B" w:rsidRPr="005C6D34" w:rsidRDefault="002A2E0E" w:rsidP="00CE6A20">
      <w:pPr>
        <w:pStyle w:val="ListParagraph"/>
        <w:numPr>
          <w:ilvl w:val="1"/>
          <w:numId w:val="5"/>
        </w:numPr>
        <w:spacing w:after="0" w:line="360" w:lineRule="auto"/>
        <w:jc w:val="both"/>
        <w:rPr>
          <w:rFonts w:cstheme="minorHAnsi"/>
          <w:b/>
          <w:bCs/>
          <w:sz w:val="24"/>
          <w:szCs w:val="24"/>
        </w:rPr>
      </w:pPr>
      <w:r w:rsidRPr="005C6D34">
        <w:rPr>
          <w:rFonts w:cstheme="minorHAnsi"/>
          <w:b/>
          <w:bCs/>
          <w:sz w:val="24"/>
          <w:szCs w:val="24"/>
        </w:rPr>
        <w:t>Descriptive Data of Population, Registered Voters</w:t>
      </w:r>
      <w:r w:rsidR="00056AC8" w:rsidRPr="005C6D34">
        <w:rPr>
          <w:rFonts w:cstheme="minorHAnsi"/>
          <w:b/>
          <w:bCs/>
          <w:sz w:val="24"/>
          <w:szCs w:val="24"/>
        </w:rPr>
        <w:t xml:space="preserve">, </w:t>
      </w:r>
      <w:r w:rsidRPr="005C6D34">
        <w:rPr>
          <w:rFonts w:cstheme="minorHAnsi"/>
          <w:b/>
          <w:bCs/>
          <w:sz w:val="24"/>
          <w:szCs w:val="24"/>
        </w:rPr>
        <w:t>Soci</w:t>
      </w:r>
      <w:r w:rsidR="00D40D56" w:rsidRPr="005C6D34">
        <w:rPr>
          <w:rFonts w:cstheme="minorHAnsi"/>
          <w:b/>
          <w:bCs/>
          <w:sz w:val="24"/>
          <w:szCs w:val="24"/>
        </w:rPr>
        <w:t>o-Economic Factors</w:t>
      </w:r>
    </w:p>
    <w:p w14:paraId="4BC61773" w14:textId="31429D0E" w:rsidR="007518CB" w:rsidRPr="005C6D34" w:rsidRDefault="007518CB" w:rsidP="00D314B3">
      <w:pPr>
        <w:spacing w:line="360" w:lineRule="auto"/>
        <w:jc w:val="both"/>
        <w:rPr>
          <w:rFonts w:cstheme="minorHAnsi"/>
          <w:sz w:val="24"/>
          <w:szCs w:val="24"/>
        </w:rPr>
      </w:pPr>
      <w:r w:rsidRPr="005C6D34">
        <w:rPr>
          <w:rFonts w:cstheme="minorHAnsi"/>
          <w:sz w:val="24"/>
          <w:szCs w:val="24"/>
        </w:rPr>
        <w:t>Table 1 shows the population distribution across the sub</w:t>
      </w:r>
      <w:r w:rsidR="005D1207" w:rsidRPr="005C6D34">
        <w:rPr>
          <w:rFonts w:cstheme="minorHAnsi"/>
          <w:sz w:val="24"/>
          <w:szCs w:val="24"/>
        </w:rPr>
        <w:t>-</w:t>
      </w:r>
      <w:r w:rsidRPr="005C6D34">
        <w:rPr>
          <w:rFonts w:cstheme="minorHAnsi"/>
          <w:sz w:val="24"/>
          <w:szCs w:val="24"/>
        </w:rPr>
        <w:t>national government</w:t>
      </w:r>
      <w:r w:rsidR="005D1207" w:rsidRPr="005C6D34">
        <w:rPr>
          <w:rFonts w:cstheme="minorHAnsi"/>
          <w:sz w:val="24"/>
          <w:szCs w:val="24"/>
        </w:rPr>
        <w:t>s</w:t>
      </w:r>
      <w:r w:rsidR="0038313B" w:rsidRPr="005C6D34">
        <w:rPr>
          <w:rFonts w:cstheme="minorHAnsi"/>
          <w:sz w:val="24"/>
          <w:szCs w:val="24"/>
        </w:rPr>
        <w:t xml:space="preserve"> (States), </w:t>
      </w:r>
      <w:r w:rsidRPr="005C6D34">
        <w:rPr>
          <w:rFonts w:cstheme="minorHAnsi"/>
          <w:sz w:val="24"/>
          <w:szCs w:val="24"/>
        </w:rPr>
        <w:t xml:space="preserve">the share of the working population, </w:t>
      </w:r>
      <w:r w:rsidR="0038313B" w:rsidRPr="005C6D34">
        <w:rPr>
          <w:rFonts w:cstheme="minorHAnsi"/>
          <w:sz w:val="24"/>
          <w:szCs w:val="24"/>
        </w:rPr>
        <w:t>the distribution</w:t>
      </w:r>
      <w:r w:rsidRPr="005C6D34">
        <w:rPr>
          <w:rFonts w:cstheme="minorHAnsi"/>
          <w:sz w:val="24"/>
          <w:szCs w:val="24"/>
        </w:rPr>
        <w:t xml:space="preserve"> of registered voters, </w:t>
      </w:r>
      <w:r w:rsidR="005D1207" w:rsidRPr="005C6D34">
        <w:rPr>
          <w:rFonts w:cstheme="minorHAnsi"/>
          <w:sz w:val="24"/>
          <w:szCs w:val="24"/>
        </w:rPr>
        <w:t xml:space="preserve">the </w:t>
      </w:r>
      <w:r w:rsidRPr="005C6D34">
        <w:rPr>
          <w:rFonts w:cstheme="minorHAnsi"/>
          <w:sz w:val="24"/>
          <w:szCs w:val="24"/>
        </w:rPr>
        <w:t xml:space="preserve">unemployment rate, </w:t>
      </w:r>
      <w:r w:rsidR="0026601D" w:rsidRPr="005C6D34">
        <w:rPr>
          <w:rFonts w:cstheme="minorHAnsi"/>
          <w:sz w:val="24"/>
          <w:szCs w:val="24"/>
        </w:rPr>
        <w:t>MPI</w:t>
      </w:r>
      <w:r w:rsidR="00044B2E" w:rsidRPr="005C6D34">
        <w:rPr>
          <w:rFonts w:cstheme="minorHAnsi"/>
          <w:sz w:val="24"/>
          <w:szCs w:val="24"/>
        </w:rPr>
        <w:t>,</w:t>
      </w:r>
      <w:r w:rsidR="00A8224E" w:rsidRPr="005C6D34">
        <w:rPr>
          <w:rFonts w:cstheme="minorHAnsi"/>
          <w:sz w:val="24"/>
          <w:szCs w:val="24"/>
        </w:rPr>
        <w:t xml:space="preserve"> share</w:t>
      </w:r>
      <w:r w:rsidR="0038313B" w:rsidRPr="005C6D34">
        <w:rPr>
          <w:rFonts w:cstheme="minorHAnsi"/>
          <w:sz w:val="24"/>
          <w:szCs w:val="24"/>
        </w:rPr>
        <w:t xml:space="preserve"> </w:t>
      </w:r>
      <w:r w:rsidR="00044B2E" w:rsidRPr="005C6D34">
        <w:rPr>
          <w:rFonts w:cstheme="minorHAnsi"/>
          <w:sz w:val="24"/>
          <w:szCs w:val="24"/>
        </w:rPr>
        <w:t xml:space="preserve">of </w:t>
      </w:r>
      <w:r w:rsidR="0038313B" w:rsidRPr="005C6D34">
        <w:rPr>
          <w:rFonts w:cstheme="minorHAnsi"/>
          <w:sz w:val="24"/>
          <w:szCs w:val="24"/>
        </w:rPr>
        <w:t xml:space="preserve">internet </w:t>
      </w:r>
      <w:r w:rsidR="00623999" w:rsidRPr="005C6D34">
        <w:rPr>
          <w:rFonts w:cstheme="minorHAnsi"/>
          <w:sz w:val="24"/>
          <w:szCs w:val="24"/>
        </w:rPr>
        <w:t>connection</w:t>
      </w:r>
      <w:r w:rsidR="002C6667" w:rsidRPr="005C6D34">
        <w:rPr>
          <w:rFonts w:cstheme="minorHAnsi"/>
          <w:sz w:val="24"/>
          <w:szCs w:val="24"/>
        </w:rPr>
        <w:t xml:space="preserve"> </w:t>
      </w:r>
      <w:r w:rsidR="00976267" w:rsidRPr="005C6D34">
        <w:rPr>
          <w:rFonts w:cstheme="minorHAnsi"/>
          <w:sz w:val="24"/>
          <w:szCs w:val="24"/>
        </w:rPr>
        <w:t xml:space="preserve">across the states </w:t>
      </w:r>
      <w:r w:rsidR="00A8224E" w:rsidRPr="005C6D34">
        <w:rPr>
          <w:rFonts w:cstheme="minorHAnsi"/>
          <w:sz w:val="24"/>
          <w:szCs w:val="24"/>
        </w:rPr>
        <w:t xml:space="preserve">and </w:t>
      </w:r>
      <w:r w:rsidR="00976267" w:rsidRPr="005C6D34">
        <w:rPr>
          <w:rFonts w:cstheme="minorHAnsi"/>
          <w:sz w:val="24"/>
          <w:szCs w:val="24"/>
        </w:rPr>
        <w:t xml:space="preserve">the </w:t>
      </w:r>
      <w:r w:rsidR="00A8224E" w:rsidRPr="005C6D34">
        <w:rPr>
          <w:rFonts w:cstheme="minorHAnsi"/>
          <w:sz w:val="24"/>
          <w:szCs w:val="24"/>
        </w:rPr>
        <w:t xml:space="preserve">internet connection </w:t>
      </w:r>
      <w:r w:rsidR="00295F1A" w:rsidRPr="005C6D34">
        <w:rPr>
          <w:rFonts w:cstheme="minorHAnsi"/>
          <w:sz w:val="24"/>
          <w:szCs w:val="24"/>
        </w:rPr>
        <w:t>per head</w:t>
      </w:r>
      <w:r w:rsidR="00976267" w:rsidRPr="005C6D34">
        <w:rPr>
          <w:rFonts w:cstheme="minorHAnsi"/>
          <w:sz w:val="24"/>
          <w:szCs w:val="24"/>
        </w:rPr>
        <w:t xml:space="preserve"> across </w:t>
      </w:r>
      <w:r w:rsidR="00A40F72" w:rsidRPr="005C6D34">
        <w:rPr>
          <w:rFonts w:cstheme="minorHAnsi"/>
          <w:sz w:val="24"/>
          <w:szCs w:val="24"/>
        </w:rPr>
        <w:t>each sub-national government and geo-political zone</w:t>
      </w:r>
      <w:r w:rsidR="00FF19D5" w:rsidRPr="005C6D34">
        <w:rPr>
          <w:rFonts w:cstheme="minorHAnsi"/>
          <w:sz w:val="24"/>
          <w:szCs w:val="24"/>
        </w:rPr>
        <w:t>. We derived the data by applying the sampling weight in the respective dataset to the final sample used to compute the reported statistics.</w:t>
      </w:r>
      <w:r w:rsidRPr="005C6D34">
        <w:rPr>
          <w:rFonts w:cstheme="minorHAnsi"/>
          <w:sz w:val="24"/>
          <w:szCs w:val="24"/>
        </w:rPr>
        <w:t xml:space="preserve"> The data combine</w:t>
      </w:r>
      <w:r w:rsidR="00570123" w:rsidRPr="005C6D34">
        <w:rPr>
          <w:rFonts w:cstheme="minorHAnsi"/>
          <w:sz w:val="24"/>
          <w:szCs w:val="24"/>
        </w:rPr>
        <w:t>s</w:t>
      </w:r>
      <w:r w:rsidRPr="005C6D34">
        <w:rPr>
          <w:rFonts w:cstheme="minorHAnsi"/>
          <w:sz w:val="24"/>
          <w:szCs w:val="24"/>
        </w:rPr>
        <w:t xml:space="preserve"> to give a national picture of the potential result of the upcoming elections through digital space voter mobilisation via online registration. </w:t>
      </w:r>
      <w:r w:rsidR="003D4740" w:rsidRPr="005C6D34">
        <w:rPr>
          <w:rFonts w:cstheme="minorHAnsi"/>
          <w:sz w:val="24"/>
          <w:szCs w:val="24"/>
        </w:rPr>
        <w:t>The unemployment rate</w:t>
      </w:r>
      <w:r w:rsidR="00E47514" w:rsidRPr="005C6D34">
        <w:rPr>
          <w:rFonts w:cstheme="minorHAnsi"/>
          <w:sz w:val="24"/>
          <w:szCs w:val="24"/>
        </w:rPr>
        <w:t xml:space="preserve"> and</w:t>
      </w:r>
      <w:r w:rsidR="005C5DA5" w:rsidRPr="005C6D34">
        <w:rPr>
          <w:rFonts w:cstheme="minorHAnsi"/>
          <w:sz w:val="24"/>
          <w:szCs w:val="24"/>
        </w:rPr>
        <w:t xml:space="preserve"> MPI </w:t>
      </w:r>
      <w:r w:rsidR="003D4740" w:rsidRPr="005C6D34">
        <w:rPr>
          <w:rFonts w:cstheme="minorHAnsi"/>
          <w:sz w:val="24"/>
          <w:szCs w:val="24"/>
        </w:rPr>
        <w:t xml:space="preserve">are factors that will </w:t>
      </w:r>
      <w:r w:rsidR="00570123" w:rsidRPr="005C6D34">
        <w:rPr>
          <w:rFonts w:cstheme="minorHAnsi"/>
          <w:sz w:val="24"/>
          <w:szCs w:val="24"/>
        </w:rPr>
        <w:t xml:space="preserve">likely </w:t>
      </w:r>
      <w:r w:rsidR="003D4740" w:rsidRPr="005C6D34">
        <w:rPr>
          <w:rFonts w:cstheme="minorHAnsi"/>
          <w:sz w:val="24"/>
          <w:szCs w:val="24"/>
        </w:rPr>
        <w:t>influence voter behaviour.</w:t>
      </w:r>
    </w:p>
    <w:p w14:paraId="1051679C" w14:textId="7DB7B90A" w:rsidR="007518CB" w:rsidRPr="005C6D34" w:rsidRDefault="00C310DB" w:rsidP="000A687F">
      <w:pPr>
        <w:spacing w:line="360" w:lineRule="auto"/>
        <w:jc w:val="center"/>
        <w:rPr>
          <w:rFonts w:cstheme="minorHAnsi"/>
          <w:sz w:val="24"/>
          <w:szCs w:val="24"/>
        </w:rPr>
      </w:pPr>
      <w:r w:rsidRPr="005C6D34">
        <w:rPr>
          <w:rFonts w:cstheme="minorHAnsi"/>
          <w:sz w:val="24"/>
          <w:szCs w:val="24"/>
        </w:rPr>
        <w:lastRenderedPageBreak/>
        <w:t>Insert Table 1 here</w:t>
      </w:r>
    </w:p>
    <w:p w14:paraId="1E0079FB" w14:textId="2E655E54" w:rsidR="007518CB" w:rsidRPr="005C6D34" w:rsidRDefault="007518CB" w:rsidP="000A687F">
      <w:pPr>
        <w:spacing w:line="360" w:lineRule="auto"/>
        <w:jc w:val="both"/>
        <w:rPr>
          <w:rFonts w:cstheme="minorHAnsi"/>
          <w:sz w:val="24"/>
          <w:szCs w:val="24"/>
        </w:rPr>
      </w:pPr>
      <w:r w:rsidRPr="005C6D34">
        <w:rPr>
          <w:rFonts w:cstheme="minorHAnsi"/>
          <w:sz w:val="24"/>
          <w:szCs w:val="24"/>
        </w:rPr>
        <w:t>Kano has the highest population share</w:t>
      </w:r>
      <w:r w:rsidR="005D1207" w:rsidRPr="005C6D34">
        <w:rPr>
          <w:rFonts w:cstheme="minorHAnsi"/>
          <w:sz w:val="24"/>
          <w:szCs w:val="24"/>
        </w:rPr>
        <w:t xml:space="preserve"> </w:t>
      </w:r>
      <w:r w:rsidR="00570123" w:rsidRPr="005C6D34">
        <w:rPr>
          <w:rFonts w:cstheme="minorHAnsi"/>
          <w:sz w:val="24"/>
          <w:szCs w:val="24"/>
        </w:rPr>
        <w:t>at</w:t>
      </w:r>
      <w:r w:rsidRPr="005C6D34">
        <w:rPr>
          <w:rFonts w:cstheme="minorHAnsi"/>
          <w:sz w:val="24"/>
          <w:szCs w:val="24"/>
        </w:rPr>
        <w:t xml:space="preserve"> </w:t>
      </w:r>
      <w:r w:rsidR="00653E8E" w:rsidRPr="005C6D34">
        <w:rPr>
          <w:rFonts w:cstheme="minorHAnsi"/>
          <w:sz w:val="24"/>
          <w:szCs w:val="24"/>
        </w:rPr>
        <w:t>6.2</w:t>
      </w:r>
      <w:r w:rsidRPr="005C6D34">
        <w:rPr>
          <w:rFonts w:cstheme="minorHAnsi"/>
          <w:sz w:val="24"/>
          <w:szCs w:val="24"/>
        </w:rPr>
        <w:t>%</w:t>
      </w:r>
      <w:r w:rsidR="005D1207" w:rsidRPr="005C6D34">
        <w:rPr>
          <w:rFonts w:cstheme="minorHAnsi"/>
          <w:sz w:val="24"/>
          <w:szCs w:val="24"/>
        </w:rPr>
        <w:t>,</w:t>
      </w:r>
      <w:r w:rsidRPr="005C6D34">
        <w:rPr>
          <w:rFonts w:cstheme="minorHAnsi"/>
          <w:sz w:val="24"/>
          <w:szCs w:val="24"/>
        </w:rPr>
        <w:t xml:space="preserve"> followed by </w:t>
      </w:r>
      <w:r w:rsidR="00603567" w:rsidRPr="005C6D34">
        <w:rPr>
          <w:rFonts w:cstheme="minorHAnsi"/>
          <w:sz w:val="24"/>
          <w:szCs w:val="24"/>
        </w:rPr>
        <w:t>Katsina with 6%,</w:t>
      </w:r>
      <w:r w:rsidR="00F72C94" w:rsidRPr="005C6D34">
        <w:rPr>
          <w:rFonts w:cstheme="minorHAnsi"/>
          <w:sz w:val="24"/>
          <w:szCs w:val="24"/>
        </w:rPr>
        <w:t xml:space="preserve"> </w:t>
      </w:r>
      <w:r w:rsidRPr="005C6D34">
        <w:rPr>
          <w:rFonts w:cstheme="minorHAnsi"/>
          <w:sz w:val="24"/>
          <w:szCs w:val="24"/>
        </w:rPr>
        <w:t>Lagos</w:t>
      </w:r>
      <w:r w:rsidR="00570123" w:rsidRPr="005C6D34">
        <w:rPr>
          <w:rFonts w:cstheme="minorHAnsi"/>
          <w:sz w:val="24"/>
          <w:szCs w:val="24"/>
        </w:rPr>
        <w:t xml:space="preserve"> at</w:t>
      </w:r>
      <w:r w:rsidRPr="005C6D34">
        <w:rPr>
          <w:rFonts w:cstheme="minorHAnsi"/>
          <w:sz w:val="24"/>
          <w:szCs w:val="24"/>
        </w:rPr>
        <w:t xml:space="preserve"> </w:t>
      </w:r>
      <w:r w:rsidR="00653E8E" w:rsidRPr="005C6D34">
        <w:rPr>
          <w:rFonts w:cstheme="minorHAnsi"/>
          <w:sz w:val="24"/>
          <w:szCs w:val="24"/>
        </w:rPr>
        <w:t>5.9</w:t>
      </w:r>
      <w:r w:rsidRPr="005C6D34">
        <w:rPr>
          <w:rFonts w:cstheme="minorHAnsi"/>
          <w:sz w:val="24"/>
          <w:szCs w:val="24"/>
        </w:rPr>
        <w:t xml:space="preserve">%, </w:t>
      </w:r>
      <w:r w:rsidR="00570123" w:rsidRPr="005C6D34">
        <w:rPr>
          <w:rFonts w:cstheme="minorHAnsi"/>
          <w:sz w:val="24"/>
          <w:szCs w:val="24"/>
        </w:rPr>
        <w:t>and</w:t>
      </w:r>
      <w:r w:rsidRPr="005C6D34">
        <w:rPr>
          <w:rFonts w:cstheme="minorHAnsi"/>
          <w:sz w:val="24"/>
          <w:szCs w:val="24"/>
        </w:rPr>
        <w:t xml:space="preserve"> Kaduna </w:t>
      </w:r>
      <w:r w:rsidR="00F72C94" w:rsidRPr="005C6D34">
        <w:rPr>
          <w:rFonts w:cstheme="minorHAnsi"/>
          <w:sz w:val="24"/>
          <w:szCs w:val="24"/>
        </w:rPr>
        <w:t>with 5.6</w:t>
      </w:r>
      <w:r w:rsidRPr="005C6D34">
        <w:rPr>
          <w:rFonts w:cstheme="minorHAnsi"/>
          <w:sz w:val="24"/>
          <w:szCs w:val="24"/>
        </w:rPr>
        <w:t xml:space="preserve">%. The rest of the states have a population share </w:t>
      </w:r>
      <w:r w:rsidR="005D1207" w:rsidRPr="005C6D34">
        <w:rPr>
          <w:rFonts w:cstheme="minorHAnsi"/>
          <w:sz w:val="24"/>
          <w:szCs w:val="24"/>
        </w:rPr>
        <w:t xml:space="preserve">of </w:t>
      </w:r>
      <w:r w:rsidRPr="005C6D34">
        <w:rPr>
          <w:rFonts w:cstheme="minorHAnsi"/>
          <w:sz w:val="24"/>
          <w:szCs w:val="24"/>
        </w:rPr>
        <w:t xml:space="preserve">below 4%. Of these four states, Lagos is from the </w:t>
      </w:r>
      <w:r w:rsidR="0038313B" w:rsidRPr="005C6D34">
        <w:rPr>
          <w:rFonts w:cstheme="minorHAnsi"/>
          <w:sz w:val="24"/>
          <w:szCs w:val="24"/>
        </w:rPr>
        <w:t>S</w:t>
      </w:r>
      <w:r w:rsidR="00D26B11" w:rsidRPr="005C6D34">
        <w:rPr>
          <w:rFonts w:cstheme="minorHAnsi"/>
          <w:sz w:val="24"/>
          <w:szCs w:val="24"/>
        </w:rPr>
        <w:t>W</w:t>
      </w:r>
      <w:r w:rsidRPr="005C6D34">
        <w:rPr>
          <w:rFonts w:cstheme="minorHAnsi"/>
          <w:sz w:val="24"/>
          <w:szCs w:val="24"/>
        </w:rPr>
        <w:t xml:space="preserve"> </w:t>
      </w:r>
      <w:r w:rsidR="00C22800" w:rsidRPr="005C6D34">
        <w:rPr>
          <w:rFonts w:cstheme="minorHAnsi"/>
          <w:sz w:val="24"/>
          <w:szCs w:val="24"/>
        </w:rPr>
        <w:t>geo-political zone</w:t>
      </w:r>
      <w:r w:rsidRPr="005C6D34">
        <w:rPr>
          <w:rFonts w:cstheme="minorHAnsi"/>
          <w:sz w:val="24"/>
          <w:szCs w:val="24"/>
        </w:rPr>
        <w:t xml:space="preserve">, while the other three are from the </w:t>
      </w:r>
      <w:r w:rsidR="00D26B11" w:rsidRPr="005C6D34">
        <w:rPr>
          <w:rFonts w:cstheme="minorHAnsi"/>
          <w:sz w:val="24"/>
          <w:szCs w:val="24"/>
        </w:rPr>
        <w:t>NW</w:t>
      </w:r>
      <w:r w:rsidRPr="005C6D34">
        <w:rPr>
          <w:rFonts w:cstheme="minorHAnsi"/>
          <w:sz w:val="24"/>
          <w:szCs w:val="24"/>
        </w:rPr>
        <w:t xml:space="preserve"> </w:t>
      </w:r>
      <w:r w:rsidR="00C22800" w:rsidRPr="005C6D34">
        <w:rPr>
          <w:rFonts w:cstheme="minorHAnsi"/>
          <w:sz w:val="24"/>
          <w:szCs w:val="24"/>
        </w:rPr>
        <w:t>geo-political zone</w:t>
      </w:r>
      <w:r w:rsidRPr="005C6D34">
        <w:rPr>
          <w:rFonts w:cstheme="minorHAnsi"/>
          <w:sz w:val="24"/>
          <w:szCs w:val="24"/>
        </w:rPr>
        <w:t xml:space="preserve">. Thus, the population share is higher in the NW, as seen in Figure 1. The average population share is 2.7%, with 23 states below the average, which means 38% of the states have </w:t>
      </w:r>
      <w:r w:rsidR="005D1207" w:rsidRPr="005C6D34">
        <w:rPr>
          <w:rFonts w:cstheme="minorHAnsi"/>
          <w:sz w:val="24"/>
          <w:szCs w:val="24"/>
        </w:rPr>
        <w:t xml:space="preserve">a </w:t>
      </w:r>
      <w:r w:rsidRPr="005C6D34">
        <w:rPr>
          <w:rFonts w:cstheme="minorHAnsi"/>
          <w:sz w:val="24"/>
          <w:szCs w:val="24"/>
        </w:rPr>
        <w:t xml:space="preserve">higher </w:t>
      </w:r>
      <w:r w:rsidR="005D1207" w:rsidRPr="005C6D34">
        <w:rPr>
          <w:rFonts w:cstheme="minorHAnsi"/>
          <w:sz w:val="24"/>
          <w:szCs w:val="24"/>
        </w:rPr>
        <w:t>population share than the national average</w:t>
      </w:r>
      <w:r w:rsidRPr="005C6D34">
        <w:rPr>
          <w:rFonts w:cstheme="minorHAnsi"/>
          <w:sz w:val="24"/>
          <w:szCs w:val="24"/>
        </w:rPr>
        <w:t xml:space="preserve">. Bayelsa </w:t>
      </w:r>
      <w:r w:rsidR="005D1207" w:rsidRPr="005C6D34">
        <w:rPr>
          <w:rFonts w:cstheme="minorHAnsi"/>
          <w:sz w:val="24"/>
          <w:szCs w:val="24"/>
        </w:rPr>
        <w:t>has</w:t>
      </w:r>
      <w:r w:rsidRPr="005C6D34">
        <w:rPr>
          <w:rFonts w:cstheme="minorHAnsi"/>
          <w:sz w:val="24"/>
          <w:szCs w:val="24"/>
        </w:rPr>
        <w:t xml:space="preserve"> the lowest share of the population. </w:t>
      </w:r>
    </w:p>
    <w:p w14:paraId="285747BB" w14:textId="10C47EE2" w:rsidR="001D75D8" w:rsidRPr="005C6D34" w:rsidRDefault="00001591" w:rsidP="000A687F">
      <w:pPr>
        <w:spacing w:line="360" w:lineRule="auto"/>
        <w:jc w:val="both"/>
        <w:rPr>
          <w:rFonts w:cstheme="minorHAnsi"/>
          <w:sz w:val="24"/>
          <w:szCs w:val="24"/>
        </w:rPr>
      </w:pPr>
      <w:r w:rsidRPr="005C6D34">
        <w:rPr>
          <w:rFonts w:cstheme="minorHAnsi"/>
          <w:sz w:val="24"/>
          <w:szCs w:val="24"/>
        </w:rPr>
        <w:t>From Table 1, the</w:t>
      </w:r>
      <w:r w:rsidR="007518CB" w:rsidRPr="005C6D34">
        <w:rPr>
          <w:rFonts w:cstheme="minorHAnsi"/>
          <w:sz w:val="24"/>
          <w:szCs w:val="24"/>
        </w:rPr>
        <w:t xml:space="preserve"> average </w:t>
      </w:r>
      <w:r w:rsidR="00B635AB" w:rsidRPr="005C6D34">
        <w:rPr>
          <w:rFonts w:cstheme="minorHAnsi"/>
          <w:sz w:val="24"/>
          <w:szCs w:val="24"/>
        </w:rPr>
        <w:t xml:space="preserve">share </w:t>
      </w:r>
      <w:r w:rsidRPr="005C6D34">
        <w:rPr>
          <w:rFonts w:cstheme="minorHAnsi"/>
          <w:sz w:val="24"/>
          <w:szCs w:val="24"/>
        </w:rPr>
        <w:t xml:space="preserve">of </w:t>
      </w:r>
      <w:r w:rsidR="007518CB" w:rsidRPr="005C6D34">
        <w:rPr>
          <w:rFonts w:cstheme="minorHAnsi"/>
          <w:sz w:val="24"/>
          <w:szCs w:val="24"/>
        </w:rPr>
        <w:t xml:space="preserve">registered voter </w:t>
      </w:r>
      <w:r w:rsidRPr="005C6D34">
        <w:rPr>
          <w:rFonts w:cstheme="minorHAnsi"/>
          <w:sz w:val="24"/>
          <w:szCs w:val="24"/>
        </w:rPr>
        <w:t xml:space="preserve">per state </w:t>
      </w:r>
      <w:r w:rsidR="007518CB" w:rsidRPr="005C6D34">
        <w:rPr>
          <w:rFonts w:cstheme="minorHAnsi"/>
          <w:sz w:val="24"/>
          <w:szCs w:val="24"/>
        </w:rPr>
        <w:t xml:space="preserve">correlates with the share of the population </w:t>
      </w:r>
      <w:r w:rsidRPr="005C6D34">
        <w:rPr>
          <w:rFonts w:cstheme="minorHAnsi"/>
          <w:sz w:val="24"/>
          <w:szCs w:val="24"/>
        </w:rPr>
        <w:t>per</w:t>
      </w:r>
      <w:r w:rsidR="007518CB" w:rsidRPr="005C6D34">
        <w:rPr>
          <w:rFonts w:cstheme="minorHAnsi"/>
          <w:sz w:val="24"/>
          <w:szCs w:val="24"/>
        </w:rPr>
        <w:t xml:space="preserve"> state – 2.7%. Lagos has the highest share of registered voters </w:t>
      </w:r>
      <w:r w:rsidR="00570123" w:rsidRPr="005C6D34">
        <w:rPr>
          <w:rFonts w:cstheme="minorHAnsi"/>
          <w:sz w:val="24"/>
          <w:szCs w:val="24"/>
        </w:rPr>
        <w:t xml:space="preserve">at </w:t>
      </w:r>
      <w:r w:rsidR="007518CB" w:rsidRPr="005C6D34">
        <w:rPr>
          <w:rFonts w:cstheme="minorHAnsi"/>
          <w:sz w:val="24"/>
          <w:szCs w:val="24"/>
        </w:rPr>
        <w:t xml:space="preserve">7.43%, followed by Kano </w:t>
      </w:r>
      <w:r w:rsidR="00570123" w:rsidRPr="005C6D34">
        <w:rPr>
          <w:rFonts w:cstheme="minorHAnsi"/>
          <w:sz w:val="24"/>
          <w:szCs w:val="24"/>
        </w:rPr>
        <w:t>at</w:t>
      </w:r>
      <w:r w:rsidR="007518CB" w:rsidRPr="005C6D34">
        <w:rPr>
          <w:rFonts w:cstheme="minorHAnsi"/>
          <w:sz w:val="24"/>
          <w:szCs w:val="24"/>
        </w:rPr>
        <w:t xml:space="preserve"> 6.26%</w:t>
      </w:r>
      <w:r w:rsidR="005D1207" w:rsidRPr="005C6D34">
        <w:rPr>
          <w:rFonts w:cstheme="minorHAnsi"/>
          <w:sz w:val="24"/>
          <w:szCs w:val="24"/>
        </w:rPr>
        <w:t xml:space="preserve"> </w:t>
      </w:r>
      <w:r w:rsidR="00570123" w:rsidRPr="005C6D34">
        <w:rPr>
          <w:rFonts w:cstheme="minorHAnsi"/>
          <w:sz w:val="24"/>
          <w:szCs w:val="24"/>
        </w:rPr>
        <w:t>and</w:t>
      </w:r>
      <w:r w:rsidR="005D1207" w:rsidRPr="005C6D34">
        <w:rPr>
          <w:rFonts w:cstheme="minorHAnsi"/>
          <w:sz w:val="24"/>
          <w:szCs w:val="24"/>
        </w:rPr>
        <w:t xml:space="preserve"> </w:t>
      </w:r>
      <w:r w:rsidR="007518CB" w:rsidRPr="005C6D34">
        <w:rPr>
          <w:rFonts w:cstheme="minorHAnsi"/>
          <w:sz w:val="24"/>
          <w:szCs w:val="24"/>
        </w:rPr>
        <w:t xml:space="preserve">Kaduna </w:t>
      </w:r>
      <w:r w:rsidR="00570123" w:rsidRPr="005C6D34">
        <w:rPr>
          <w:rFonts w:cstheme="minorHAnsi"/>
          <w:sz w:val="24"/>
          <w:szCs w:val="24"/>
        </w:rPr>
        <w:t>at</w:t>
      </w:r>
      <w:r w:rsidR="007518CB" w:rsidRPr="005C6D34">
        <w:rPr>
          <w:rFonts w:cstheme="minorHAnsi"/>
          <w:sz w:val="24"/>
          <w:szCs w:val="24"/>
        </w:rPr>
        <w:t xml:space="preserve"> 4.58%. Four states have a higher than 3%</w:t>
      </w:r>
      <w:r w:rsidR="005D1207" w:rsidRPr="005C6D34">
        <w:rPr>
          <w:rFonts w:cstheme="minorHAnsi"/>
          <w:sz w:val="24"/>
          <w:szCs w:val="24"/>
        </w:rPr>
        <w:t xml:space="preserve"> share</w:t>
      </w:r>
      <w:r w:rsidR="007518CB" w:rsidRPr="005C6D34">
        <w:rPr>
          <w:rFonts w:cstheme="minorHAnsi"/>
          <w:sz w:val="24"/>
          <w:szCs w:val="24"/>
        </w:rPr>
        <w:t xml:space="preserve"> </w:t>
      </w:r>
      <w:r w:rsidR="00570123" w:rsidRPr="005C6D34">
        <w:rPr>
          <w:rFonts w:cstheme="minorHAnsi"/>
          <w:sz w:val="24"/>
          <w:szCs w:val="24"/>
        </w:rPr>
        <w:t xml:space="preserve">– </w:t>
      </w:r>
      <w:r w:rsidR="007518CB" w:rsidRPr="005C6D34">
        <w:rPr>
          <w:rFonts w:cstheme="minorHAnsi"/>
          <w:sz w:val="24"/>
          <w:szCs w:val="24"/>
        </w:rPr>
        <w:t xml:space="preserve">Rivers </w:t>
      </w:r>
      <w:r w:rsidR="00570123" w:rsidRPr="005C6D34">
        <w:rPr>
          <w:rFonts w:cstheme="minorHAnsi"/>
          <w:sz w:val="24"/>
          <w:szCs w:val="24"/>
        </w:rPr>
        <w:t>at</w:t>
      </w:r>
      <w:r w:rsidR="005D1207" w:rsidRPr="005C6D34">
        <w:rPr>
          <w:rFonts w:cstheme="minorHAnsi"/>
          <w:sz w:val="24"/>
          <w:szCs w:val="24"/>
        </w:rPr>
        <w:t xml:space="preserve"> </w:t>
      </w:r>
      <w:r w:rsidR="007518CB" w:rsidRPr="005C6D34">
        <w:rPr>
          <w:rFonts w:cstheme="minorHAnsi"/>
          <w:sz w:val="24"/>
          <w:szCs w:val="24"/>
        </w:rPr>
        <w:t>3.83%, Oyo</w:t>
      </w:r>
      <w:r w:rsidR="005D1207" w:rsidRPr="005C6D34">
        <w:rPr>
          <w:rFonts w:cstheme="minorHAnsi"/>
          <w:sz w:val="24"/>
          <w:szCs w:val="24"/>
        </w:rPr>
        <w:t xml:space="preserve"> </w:t>
      </w:r>
      <w:r w:rsidR="00570123" w:rsidRPr="005C6D34">
        <w:rPr>
          <w:rFonts w:cstheme="minorHAnsi"/>
          <w:sz w:val="24"/>
          <w:szCs w:val="24"/>
        </w:rPr>
        <w:t>at</w:t>
      </w:r>
      <w:r w:rsidR="007518CB" w:rsidRPr="005C6D34">
        <w:rPr>
          <w:rFonts w:cstheme="minorHAnsi"/>
          <w:sz w:val="24"/>
          <w:szCs w:val="24"/>
        </w:rPr>
        <w:t xml:space="preserve"> 3.46%, Katsina </w:t>
      </w:r>
      <w:r w:rsidR="00570123" w:rsidRPr="005C6D34">
        <w:rPr>
          <w:rFonts w:cstheme="minorHAnsi"/>
          <w:sz w:val="24"/>
          <w:szCs w:val="24"/>
        </w:rPr>
        <w:t>at</w:t>
      </w:r>
      <w:r w:rsidR="005D1207" w:rsidRPr="005C6D34">
        <w:rPr>
          <w:rFonts w:cstheme="minorHAnsi"/>
          <w:sz w:val="24"/>
          <w:szCs w:val="24"/>
        </w:rPr>
        <w:t xml:space="preserve"> </w:t>
      </w:r>
      <w:r w:rsidR="007518CB" w:rsidRPr="005C6D34">
        <w:rPr>
          <w:rFonts w:cstheme="minorHAnsi"/>
          <w:sz w:val="24"/>
          <w:szCs w:val="24"/>
        </w:rPr>
        <w:t xml:space="preserve">3.71% </w:t>
      </w:r>
      <w:r w:rsidR="00570123" w:rsidRPr="005C6D34">
        <w:rPr>
          <w:rFonts w:cstheme="minorHAnsi"/>
          <w:sz w:val="24"/>
          <w:szCs w:val="24"/>
        </w:rPr>
        <w:t>and</w:t>
      </w:r>
      <w:r w:rsidR="007518CB" w:rsidRPr="005C6D34">
        <w:rPr>
          <w:rFonts w:cstheme="minorHAnsi"/>
          <w:sz w:val="24"/>
          <w:szCs w:val="24"/>
        </w:rPr>
        <w:t xml:space="preserve"> Delta </w:t>
      </w:r>
      <w:r w:rsidR="00570123" w:rsidRPr="005C6D34">
        <w:rPr>
          <w:rFonts w:cstheme="minorHAnsi"/>
          <w:sz w:val="24"/>
          <w:szCs w:val="24"/>
        </w:rPr>
        <w:t>at</w:t>
      </w:r>
      <w:r w:rsidR="005D1207" w:rsidRPr="005C6D34">
        <w:rPr>
          <w:rFonts w:cstheme="minorHAnsi"/>
          <w:sz w:val="24"/>
          <w:szCs w:val="24"/>
        </w:rPr>
        <w:t xml:space="preserve"> </w:t>
      </w:r>
      <w:r w:rsidR="007518CB" w:rsidRPr="005C6D34">
        <w:rPr>
          <w:rFonts w:cstheme="minorHAnsi"/>
          <w:sz w:val="24"/>
          <w:szCs w:val="24"/>
        </w:rPr>
        <w:t>3.5%. Six other states have a</w:t>
      </w:r>
      <w:r w:rsidR="005D1207" w:rsidRPr="005C6D34">
        <w:rPr>
          <w:rFonts w:cstheme="minorHAnsi"/>
          <w:sz w:val="24"/>
          <w:szCs w:val="24"/>
        </w:rPr>
        <w:t>n above-average</w:t>
      </w:r>
      <w:r w:rsidR="007518CB" w:rsidRPr="005C6D34">
        <w:rPr>
          <w:rFonts w:cstheme="minorHAnsi"/>
          <w:sz w:val="24"/>
          <w:szCs w:val="24"/>
        </w:rPr>
        <w:t xml:space="preserve"> share. These states </w:t>
      </w:r>
      <w:r w:rsidR="00BE4022" w:rsidRPr="005C6D34">
        <w:rPr>
          <w:rFonts w:cstheme="minorHAnsi"/>
          <w:sz w:val="24"/>
          <w:szCs w:val="24"/>
        </w:rPr>
        <w:t>represent</w:t>
      </w:r>
      <w:r w:rsidR="007518CB" w:rsidRPr="005C6D34">
        <w:rPr>
          <w:rFonts w:cstheme="minorHAnsi"/>
          <w:sz w:val="24"/>
          <w:szCs w:val="24"/>
        </w:rPr>
        <w:t xml:space="preserve"> 35% of the </w:t>
      </w:r>
      <w:r w:rsidR="00BE4022" w:rsidRPr="005C6D34">
        <w:rPr>
          <w:rFonts w:cstheme="minorHAnsi"/>
          <w:sz w:val="24"/>
          <w:szCs w:val="24"/>
        </w:rPr>
        <w:t>total states</w:t>
      </w:r>
      <w:r w:rsidR="007518CB" w:rsidRPr="005C6D34">
        <w:rPr>
          <w:rFonts w:cstheme="minorHAnsi"/>
          <w:sz w:val="24"/>
          <w:szCs w:val="24"/>
        </w:rPr>
        <w:t xml:space="preserve"> </w:t>
      </w:r>
      <w:r w:rsidR="00570123" w:rsidRPr="005C6D34">
        <w:rPr>
          <w:rFonts w:cstheme="minorHAnsi"/>
          <w:sz w:val="24"/>
          <w:szCs w:val="24"/>
        </w:rPr>
        <w:t>and</w:t>
      </w:r>
      <w:r w:rsidR="007518CB" w:rsidRPr="005C6D34">
        <w:rPr>
          <w:rFonts w:cstheme="minorHAnsi"/>
          <w:sz w:val="24"/>
          <w:szCs w:val="24"/>
        </w:rPr>
        <w:t xml:space="preserve"> have a share of 50.12% of the registered voters. </w:t>
      </w:r>
    </w:p>
    <w:p w14:paraId="46C4423E" w14:textId="44C6AC6B" w:rsidR="001D75D8" w:rsidRPr="005C6D34" w:rsidRDefault="004D4C3B" w:rsidP="00A80A31">
      <w:pPr>
        <w:keepNext/>
        <w:spacing w:after="0" w:line="240" w:lineRule="auto"/>
        <w:jc w:val="center"/>
        <w:rPr>
          <w:rFonts w:cstheme="minorHAnsi"/>
          <w:sz w:val="24"/>
          <w:szCs w:val="24"/>
        </w:rPr>
      </w:pPr>
      <w:r w:rsidRPr="005C6D34">
        <w:rPr>
          <w:noProof/>
        </w:rPr>
        <w:drawing>
          <wp:inline distT="0" distB="0" distL="0" distR="0" wp14:anchorId="14D1514D" wp14:editId="09798FBA">
            <wp:extent cx="5638800" cy="2711450"/>
            <wp:effectExtent l="0" t="0" r="0" b="12700"/>
            <wp:docPr id="10" name="Chart 10">
              <a:extLst xmlns:a="http://schemas.openxmlformats.org/drawingml/2006/main">
                <a:ext uri="{FF2B5EF4-FFF2-40B4-BE49-F238E27FC236}">
                  <a16:creationId xmlns:a16="http://schemas.microsoft.com/office/drawing/2014/main" id="{A44B1AB1-61E8-45E4-8200-EFDE9F2BF5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22E23FB" w14:textId="1CB47FC5" w:rsidR="001D75D8" w:rsidRPr="005C6D34" w:rsidRDefault="001D75D8" w:rsidP="001D75D8">
      <w:pPr>
        <w:pStyle w:val="Caption"/>
        <w:spacing w:line="360" w:lineRule="auto"/>
        <w:jc w:val="center"/>
        <w:rPr>
          <w:rFonts w:cstheme="minorHAnsi"/>
          <w:sz w:val="24"/>
          <w:szCs w:val="24"/>
        </w:rPr>
      </w:pPr>
      <w:r w:rsidRPr="005C6D34">
        <w:rPr>
          <w:rFonts w:cstheme="minorHAnsi"/>
          <w:sz w:val="24"/>
          <w:szCs w:val="24"/>
        </w:rPr>
        <w:t xml:space="preserve">Figure </w:t>
      </w:r>
      <w:r w:rsidRPr="005C6D34">
        <w:rPr>
          <w:rFonts w:cstheme="minorHAnsi"/>
          <w:sz w:val="24"/>
          <w:szCs w:val="24"/>
        </w:rPr>
        <w:fldChar w:fldCharType="begin"/>
      </w:r>
      <w:r w:rsidRPr="005C6D34">
        <w:rPr>
          <w:rFonts w:cstheme="minorHAnsi"/>
          <w:sz w:val="24"/>
          <w:szCs w:val="24"/>
        </w:rPr>
        <w:instrText xml:space="preserve"> SEQ Figure \* ARABIC </w:instrText>
      </w:r>
      <w:r w:rsidRPr="005C6D34">
        <w:rPr>
          <w:rFonts w:cstheme="minorHAnsi"/>
          <w:sz w:val="24"/>
          <w:szCs w:val="24"/>
        </w:rPr>
        <w:fldChar w:fldCharType="separate"/>
      </w:r>
      <w:r w:rsidRPr="005C6D34">
        <w:rPr>
          <w:rFonts w:cstheme="minorHAnsi"/>
          <w:noProof/>
          <w:sz w:val="24"/>
          <w:szCs w:val="24"/>
        </w:rPr>
        <w:t>1</w:t>
      </w:r>
      <w:r w:rsidRPr="005C6D34">
        <w:rPr>
          <w:rFonts w:cstheme="minorHAnsi"/>
          <w:sz w:val="24"/>
          <w:szCs w:val="24"/>
        </w:rPr>
        <w:fldChar w:fldCharType="end"/>
      </w:r>
      <w:r w:rsidRPr="005C6D34">
        <w:rPr>
          <w:rFonts w:cstheme="minorHAnsi"/>
          <w:sz w:val="24"/>
          <w:szCs w:val="24"/>
        </w:rPr>
        <w:t xml:space="preserve"> Distribution of Population, Registered Voters</w:t>
      </w:r>
      <w:r w:rsidR="00657597" w:rsidRPr="005C6D34">
        <w:rPr>
          <w:rFonts w:cstheme="minorHAnsi"/>
          <w:sz w:val="24"/>
          <w:szCs w:val="24"/>
        </w:rPr>
        <w:t>, Unemployment, MPI</w:t>
      </w:r>
      <w:r w:rsidRPr="005C6D34">
        <w:rPr>
          <w:rFonts w:cstheme="minorHAnsi"/>
          <w:sz w:val="24"/>
          <w:szCs w:val="24"/>
        </w:rPr>
        <w:t xml:space="preserve"> and Internet </w:t>
      </w:r>
      <w:r w:rsidR="00A40F72" w:rsidRPr="005C6D34">
        <w:rPr>
          <w:rFonts w:cstheme="minorHAnsi"/>
          <w:sz w:val="24"/>
          <w:szCs w:val="24"/>
        </w:rPr>
        <w:t>Usage</w:t>
      </w:r>
      <w:r w:rsidR="00114913" w:rsidRPr="005C6D34">
        <w:rPr>
          <w:rFonts w:cstheme="minorHAnsi"/>
          <w:sz w:val="24"/>
          <w:szCs w:val="24"/>
        </w:rPr>
        <w:t xml:space="preserve"> by Geo-political Zones</w:t>
      </w:r>
    </w:p>
    <w:p w14:paraId="0045C95B" w14:textId="42A92123" w:rsidR="007518CB" w:rsidRPr="005C6D34" w:rsidRDefault="007518CB" w:rsidP="000A687F">
      <w:pPr>
        <w:spacing w:line="360" w:lineRule="auto"/>
        <w:jc w:val="both"/>
        <w:rPr>
          <w:rFonts w:cstheme="minorHAnsi"/>
          <w:sz w:val="24"/>
          <w:szCs w:val="24"/>
        </w:rPr>
      </w:pPr>
      <w:r w:rsidRPr="005C6D34">
        <w:rPr>
          <w:rFonts w:cstheme="minorHAnsi"/>
          <w:sz w:val="24"/>
          <w:szCs w:val="24"/>
        </w:rPr>
        <w:t xml:space="preserve">However, considering the distribution across </w:t>
      </w:r>
      <w:r w:rsidR="00BC297F" w:rsidRPr="005C6D34">
        <w:rPr>
          <w:rFonts w:cstheme="minorHAnsi"/>
          <w:sz w:val="24"/>
          <w:szCs w:val="24"/>
        </w:rPr>
        <w:t xml:space="preserve">the </w:t>
      </w:r>
      <w:r w:rsidR="00C22800" w:rsidRPr="005C6D34">
        <w:rPr>
          <w:rFonts w:cstheme="minorHAnsi"/>
          <w:sz w:val="24"/>
          <w:szCs w:val="24"/>
        </w:rPr>
        <w:t>geo-political zone</w:t>
      </w:r>
      <w:r w:rsidRPr="005C6D34">
        <w:rPr>
          <w:rFonts w:cstheme="minorHAnsi"/>
          <w:sz w:val="24"/>
          <w:szCs w:val="24"/>
        </w:rPr>
        <w:t xml:space="preserve">s in Figure 1, </w:t>
      </w:r>
      <w:r w:rsidR="00570123" w:rsidRPr="005C6D34">
        <w:rPr>
          <w:rFonts w:cstheme="minorHAnsi"/>
          <w:sz w:val="24"/>
          <w:szCs w:val="24"/>
        </w:rPr>
        <w:t>it can be seen that</w:t>
      </w:r>
      <w:r w:rsidRPr="005C6D34">
        <w:rPr>
          <w:rFonts w:cstheme="minorHAnsi"/>
          <w:sz w:val="24"/>
          <w:szCs w:val="24"/>
        </w:rPr>
        <w:t xml:space="preserve"> the NW has 23.5%, </w:t>
      </w:r>
      <w:r w:rsidR="00BE4022" w:rsidRPr="005C6D34">
        <w:rPr>
          <w:rFonts w:cstheme="minorHAnsi"/>
          <w:sz w:val="24"/>
          <w:szCs w:val="24"/>
        </w:rPr>
        <w:t xml:space="preserve">the </w:t>
      </w:r>
      <w:r w:rsidRPr="005C6D34">
        <w:rPr>
          <w:rFonts w:cstheme="minorHAnsi"/>
          <w:sz w:val="24"/>
          <w:szCs w:val="24"/>
        </w:rPr>
        <w:t xml:space="preserve">SW </w:t>
      </w:r>
      <w:r w:rsidR="00BE4022" w:rsidRPr="005C6D34">
        <w:rPr>
          <w:rFonts w:cstheme="minorHAnsi"/>
          <w:sz w:val="24"/>
          <w:szCs w:val="24"/>
        </w:rPr>
        <w:t>has</w:t>
      </w:r>
      <w:r w:rsidRPr="005C6D34">
        <w:rPr>
          <w:rFonts w:cstheme="minorHAnsi"/>
          <w:sz w:val="24"/>
          <w:szCs w:val="24"/>
        </w:rPr>
        <w:t xml:space="preserve"> 19%, </w:t>
      </w:r>
      <w:r w:rsidR="00BE4022" w:rsidRPr="005C6D34">
        <w:rPr>
          <w:rFonts w:cstheme="minorHAnsi"/>
          <w:sz w:val="24"/>
          <w:szCs w:val="24"/>
        </w:rPr>
        <w:t xml:space="preserve">the </w:t>
      </w:r>
      <w:r w:rsidR="00B44C35" w:rsidRPr="005C6D34">
        <w:rPr>
          <w:rFonts w:cstheme="minorHAnsi"/>
          <w:sz w:val="24"/>
          <w:szCs w:val="24"/>
        </w:rPr>
        <w:t>NC h</w:t>
      </w:r>
      <w:r w:rsidR="00BE4022" w:rsidRPr="005C6D34">
        <w:rPr>
          <w:rFonts w:cstheme="minorHAnsi"/>
          <w:sz w:val="24"/>
          <w:szCs w:val="24"/>
        </w:rPr>
        <w:t xml:space="preserve">as </w:t>
      </w:r>
      <w:r w:rsidRPr="005C6D34">
        <w:rPr>
          <w:rFonts w:cstheme="minorHAnsi"/>
          <w:sz w:val="24"/>
          <w:szCs w:val="24"/>
        </w:rPr>
        <w:t xml:space="preserve">16.3%, </w:t>
      </w:r>
      <w:r w:rsidR="00BE4022" w:rsidRPr="005C6D34">
        <w:rPr>
          <w:rFonts w:cstheme="minorHAnsi"/>
          <w:sz w:val="24"/>
          <w:szCs w:val="24"/>
        </w:rPr>
        <w:t>the</w:t>
      </w:r>
      <w:r w:rsidR="00B44C35" w:rsidRPr="005C6D34">
        <w:rPr>
          <w:rFonts w:cstheme="minorHAnsi"/>
          <w:sz w:val="24"/>
          <w:szCs w:val="24"/>
        </w:rPr>
        <w:t xml:space="preserve"> S</w:t>
      </w:r>
      <w:r w:rsidR="002E285E" w:rsidRPr="005C6D34">
        <w:rPr>
          <w:rFonts w:cstheme="minorHAnsi"/>
          <w:sz w:val="24"/>
          <w:szCs w:val="24"/>
        </w:rPr>
        <w:t>S</w:t>
      </w:r>
      <w:r w:rsidR="00B44C35" w:rsidRPr="005C6D34">
        <w:rPr>
          <w:rFonts w:cstheme="minorHAnsi"/>
          <w:sz w:val="24"/>
          <w:szCs w:val="24"/>
        </w:rPr>
        <w:t xml:space="preserve"> has </w:t>
      </w:r>
      <w:r w:rsidRPr="005C6D34">
        <w:rPr>
          <w:rFonts w:cstheme="minorHAnsi"/>
          <w:sz w:val="24"/>
          <w:szCs w:val="24"/>
        </w:rPr>
        <w:t xml:space="preserve">15.9%, </w:t>
      </w:r>
      <w:r w:rsidR="00BE4022" w:rsidRPr="005C6D34">
        <w:rPr>
          <w:rFonts w:cstheme="minorHAnsi"/>
          <w:sz w:val="24"/>
          <w:szCs w:val="24"/>
        </w:rPr>
        <w:t xml:space="preserve">the </w:t>
      </w:r>
      <w:r w:rsidRPr="005C6D34">
        <w:rPr>
          <w:rFonts w:cstheme="minorHAnsi"/>
          <w:sz w:val="24"/>
          <w:szCs w:val="24"/>
        </w:rPr>
        <w:t xml:space="preserve">NE </w:t>
      </w:r>
      <w:r w:rsidR="00BE4022" w:rsidRPr="005C6D34">
        <w:rPr>
          <w:rFonts w:cstheme="minorHAnsi"/>
          <w:sz w:val="24"/>
          <w:szCs w:val="24"/>
        </w:rPr>
        <w:t>has</w:t>
      </w:r>
      <w:r w:rsidRPr="005C6D34">
        <w:rPr>
          <w:rFonts w:cstheme="minorHAnsi"/>
          <w:sz w:val="24"/>
          <w:szCs w:val="24"/>
        </w:rPr>
        <w:t xml:space="preserve"> 13.3% </w:t>
      </w:r>
      <w:r w:rsidR="00570123" w:rsidRPr="005C6D34">
        <w:rPr>
          <w:rFonts w:cstheme="minorHAnsi"/>
          <w:sz w:val="24"/>
          <w:szCs w:val="24"/>
        </w:rPr>
        <w:lastRenderedPageBreak/>
        <w:t>and</w:t>
      </w:r>
      <w:r w:rsidRPr="005C6D34">
        <w:rPr>
          <w:rFonts w:cstheme="minorHAnsi"/>
          <w:sz w:val="24"/>
          <w:szCs w:val="24"/>
        </w:rPr>
        <w:t xml:space="preserve"> </w:t>
      </w:r>
      <w:r w:rsidR="00BE4022" w:rsidRPr="005C6D34">
        <w:rPr>
          <w:rFonts w:cstheme="minorHAnsi"/>
          <w:sz w:val="24"/>
          <w:szCs w:val="24"/>
        </w:rPr>
        <w:t xml:space="preserve">the </w:t>
      </w:r>
      <w:r w:rsidRPr="005C6D34">
        <w:rPr>
          <w:rFonts w:cstheme="minorHAnsi"/>
          <w:sz w:val="24"/>
          <w:szCs w:val="24"/>
        </w:rPr>
        <w:t xml:space="preserve">SE </w:t>
      </w:r>
      <w:r w:rsidR="00BE4022" w:rsidRPr="005C6D34">
        <w:rPr>
          <w:rFonts w:cstheme="minorHAnsi"/>
          <w:sz w:val="24"/>
          <w:szCs w:val="24"/>
        </w:rPr>
        <w:t xml:space="preserve">has </w:t>
      </w:r>
      <w:r w:rsidRPr="005C6D34">
        <w:rPr>
          <w:rFonts w:cstheme="minorHAnsi"/>
          <w:sz w:val="24"/>
          <w:szCs w:val="24"/>
        </w:rPr>
        <w:t>11.9%</w:t>
      </w:r>
      <w:r w:rsidR="00570123" w:rsidRPr="005C6D34">
        <w:rPr>
          <w:rFonts w:cstheme="minorHAnsi"/>
          <w:sz w:val="24"/>
          <w:szCs w:val="24"/>
        </w:rPr>
        <w:t xml:space="preserve"> of the total share of registered voters</w:t>
      </w:r>
      <w:r w:rsidRPr="005C6D34">
        <w:rPr>
          <w:rFonts w:cstheme="minorHAnsi"/>
          <w:sz w:val="24"/>
          <w:szCs w:val="24"/>
        </w:rPr>
        <w:t xml:space="preserve">. The average </w:t>
      </w:r>
      <w:r w:rsidR="00BE4022" w:rsidRPr="005C6D34">
        <w:rPr>
          <w:rFonts w:cstheme="minorHAnsi"/>
          <w:sz w:val="24"/>
          <w:szCs w:val="24"/>
        </w:rPr>
        <w:t xml:space="preserve">share </w:t>
      </w:r>
      <w:r w:rsidRPr="005C6D34">
        <w:rPr>
          <w:rFonts w:cstheme="minorHAnsi"/>
          <w:sz w:val="24"/>
          <w:szCs w:val="24"/>
        </w:rPr>
        <w:t xml:space="preserve">across </w:t>
      </w:r>
      <w:r w:rsidR="00BE4022" w:rsidRPr="005C6D34">
        <w:rPr>
          <w:rFonts w:cstheme="minorHAnsi"/>
          <w:sz w:val="24"/>
          <w:szCs w:val="24"/>
        </w:rPr>
        <w:t xml:space="preserve">the </w:t>
      </w:r>
      <w:r w:rsidR="00C22800" w:rsidRPr="005C6D34">
        <w:rPr>
          <w:rFonts w:cstheme="minorHAnsi"/>
          <w:sz w:val="24"/>
          <w:szCs w:val="24"/>
        </w:rPr>
        <w:t>geo-political zone</w:t>
      </w:r>
      <w:r w:rsidRPr="005C6D34">
        <w:rPr>
          <w:rFonts w:cstheme="minorHAnsi"/>
          <w:sz w:val="24"/>
          <w:szCs w:val="24"/>
        </w:rPr>
        <w:t xml:space="preserve"> is 16.7%, which </w:t>
      </w:r>
      <w:r w:rsidR="00BE4022" w:rsidRPr="005C6D34">
        <w:rPr>
          <w:rFonts w:cstheme="minorHAnsi"/>
          <w:sz w:val="24"/>
          <w:szCs w:val="24"/>
        </w:rPr>
        <w:t xml:space="preserve">means that </w:t>
      </w:r>
      <w:r w:rsidRPr="005C6D34">
        <w:rPr>
          <w:rFonts w:cstheme="minorHAnsi"/>
          <w:sz w:val="24"/>
          <w:szCs w:val="24"/>
        </w:rPr>
        <w:t xml:space="preserve">only the SW </w:t>
      </w:r>
      <w:r w:rsidR="00570123" w:rsidRPr="005C6D34">
        <w:rPr>
          <w:rFonts w:cstheme="minorHAnsi"/>
          <w:sz w:val="24"/>
          <w:szCs w:val="24"/>
        </w:rPr>
        <w:t>and</w:t>
      </w:r>
      <w:r w:rsidRPr="005C6D34">
        <w:rPr>
          <w:rFonts w:cstheme="minorHAnsi"/>
          <w:sz w:val="24"/>
          <w:szCs w:val="24"/>
        </w:rPr>
        <w:t xml:space="preserve"> NW have a higher</w:t>
      </w:r>
      <w:r w:rsidR="00570123" w:rsidRPr="005C6D34">
        <w:rPr>
          <w:rFonts w:cstheme="minorHAnsi"/>
          <w:sz w:val="24"/>
          <w:szCs w:val="24"/>
        </w:rPr>
        <w:t>-than-</w:t>
      </w:r>
      <w:r w:rsidR="00BE4022" w:rsidRPr="005C6D34">
        <w:rPr>
          <w:rFonts w:cstheme="minorHAnsi"/>
          <w:sz w:val="24"/>
          <w:szCs w:val="24"/>
        </w:rPr>
        <w:t xml:space="preserve">average </w:t>
      </w:r>
      <w:r w:rsidRPr="005C6D34">
        <w:rPr>
          <w:rFonts w:cstheme="minorHAnsi"/>
          <w:sz w:val="24"/>
          <w:szCs w:val="24"/>
        </w:rPr>
        <w:t xml:space="preserve">share. </w:t>
      </w:r>
    </w:p>
    <w:p w14:paraId="59393136" w14:textId="77777777" w:rsidR="008F7705" w:rsidRPr="005C6D34" w:rsidRDefault="00BE4022" w:rsidP="000A687F">
      <w:pPr>
        <w:spacing w:line="360" w:lineRule="auto"/>
        <w:jc w:val="both"/>
        <w:rPr>
          <w:rFonts w:cstheme="minorHAnsi"/>
          <w:sz w:val="24"/>
          <w:szCs w:val="24"/>
        </w:rPr>
      </w:pPr>
      <w:r w:rsidRPr="005C6D34">
        <w:rPr>
          <w:rFonts w:cstheme="minorHAnsi"/>
          <w:sz w:val="24"/>
          <w:szCs w:val="24"/>
        </w:rPr>
        <w:t>I</w:t>
      </w:r>
      <w:r w:rsidR="007518CB" w:rsidRPr="005C6D34">
        <w:rPr>
          <w:rFonts w:cstheme="minorHAnsi"/>
          <w:sz w:val="24"/>
          <w:szCs w:val="24"/>
        </w:rPr>
        <w:t xml:space="preserve">nternet </w:t>
      </w:r>
      <w:r w:rsidR="00F85EAF" w:rsidRPr="005C6D34">
        <w:rPr>
          <w:rFonts w:cstheme="minorHAnsi"/>
          <w:sz w:val="24"/>
          <w:szCs w:val="24"/>
        </w:rPr>
        <w:t xml:space="preserve">usage </w:t>
      </w:r>
      <w:r w:rsidR="007518CB" w:rsidRPr="005C6D34">
        <w:rPr>
          <w:rFonts w:cstheme="minorHAnsi"/>
          <w:sz w:val="24"/>
          <w:szCs w:val="24"/>
        </w:rPr>
        <w:t xml:space="preserve">across the states is </w:t>
      </w:r>
      <w:r w:rsidRPr="005C6D34">
        <w:rPr>
          <w:rFonts w:cstheme="minorHAnsi"/>
          <w:sz w:val="24"/>
          <w:szCs w:val="24"/>
        </w:rPr>
        <w:t>re</w:t>
      </w:r>
      <w:r w:rsidR="007518CB" w:rsidRPr="005C6D34">
        <w:rPr>
          <w:rFonts w:cstheme="minorHAnsi"/>
          <w:sz w:val="24"/>
          <w:szCs w:val="24"/>
        </w:rPr>
        <w:t xml:space="preserve">presented by connectivity </w:t>
      </w:r>
      <w:r w:rsidR="00570123" w:rsidRPr="005C6D34">
        <w:rPr>
          <w:rFonts w:cstheme="minorHAnsi"/>
          <w:sz w:val="24"/>
          <w:szCs w:val="24"/>
        </w:rPr>
        <w:t>and</w:t>
      </w:r>
      <w:r w:rsidR="007518CB" w:rsidRPr="005C6D34">
        <w:rPr>
          <w:rFonts w:cstheme="minorHAnsi"/>
          <w:sz w:val="24"/>
          <w:szCs w:val="24"/>
        </w:rPr>
        <w:t xml:space="preserve"> connection per head. The average</w:t>
      </w:r>
      <w:r w:rsidRPr="005C6D34">
        <w:rPr>
          <w:rFonts w:cstheme="minorHAnsi"/>
          <w:sz w:val="24"/>
          <w:szCs w:val="24"/>
        </w:rPr>
        <w:t xml:space="preserve"> number of</w:t>
      </w:r>
      <w:r w:rsidR="007518CB" w:rsidRPr="005C6D34">
        <w:rPr>
          <w:rFonts w:cstheme="minorHAnsi"/>
          <w:sz w:val="24"/>
          <w:szCs w:val="24"/>
        </w:rPr>
        <w:t xml:space="preserve"> connectio</w:t>
      </w:r>
      <w:r w:rsidR="00B0786C" w:rsidRPr="005C6D34">
        <w:rPr>
          <w:rFonts w:cstheme="minorHAnsi"/>
          <w:sz w:val="24"/>
          <w:szCs w:val="24"/>
        </w:rPr>
        <w:t>n</w:t>
      </w:r>
      <w:r w:rsidRPr="005C6D34">
        <w:rPr>
          <w:rFonts w:cstheme="minorHAnsi"/>
          <w:sz w:val="24"/>
          <w:szCs w:val="24"/>
        </w:rPr>
        <w:t>s</w:t>
      </w:r>
      <w:r w:rsidR="00B0786C" w:rsidRPr="005C6D34">
        <w:rPr>
          <w:rFonts w:cstheme="minorHAnsi"/>
          <w:sz w:val="24"/>
          <w:szCs w:val="24"/>
        </w:rPr>
        <w:t xml:space="preserve"> per head in Nigeria is 0.6.</w:t>
      </w:r>
      <w:r w:rsidR="007C2A0D" w:rsidRPr="005C6D34">
        <w:rPr>
          <w:rFonts w:cstheme="minorHAnsi"/>
          <w:sz w:val="24"/>
          <w:szCs w:val="24"/>
        </w:rPr>
        <w:t>,</w:t>
      </w:r>
      <w:r w:rsidR="007518CB" w:rsidRPr="005C6D34">
        <w:rPr>
          <w:rFonts w:cstheme="minorHAnsi"/>
          <w:sz w:val="24"/>
          <w:szCs w:val="24"/>
        </w:rPr>
        <w:t xml:space="preserve"> </w:t>
      </w:r>
      <w:r w:rsidR="00F03401" w:rsidRPr="005C6D34">
        <w:rPr>
          <w:rFonts w:cstheme="minorHAnsi"/>
          <w:sz w:val="24"/>
          <w:szCs w:val="24"/>
        </w:rPr>
        <w:t xml:space="preserve">which </w:t>
      </w:r>
      <w:r w:rsidR="007518CB" w:rsidRPr="005C6D34">
        <w:rPr>
          <w:rFonts w:cstheme="minorHAnsi"/>
          <w:sz w:val="24"/>
          <w:szCs w:val="24"/>
        </w:rPr>
        <w:t>means for every 10 people</w:t>
      </w:r>
      <w:r w:rsidRPr="005C6D34">
        <w:rPr>
          <w:rFonts w:cstheme="minorHAnsi"/>
          <w:sz w:val="24"/>
          <w:szCs w:val="24"/>
        </w:rPr>
        <w:t xml:space="preserve"> t</w:t>
      </w:r>
      <w:r w:rsidR="007518CB" w:rsidRPr="005C6D34">
        <w:rPr>
          <w:rFonts w:cstheme="minorHAnsi"/>
          <w:sz w:val="24"/>
          <w:szCs w:val="24"/>
        </w:rPr>
        <w:t xml:space="preserve">here </w:t>
      </w:r>
      <w:r w:rsidRPr="005C6D34">
        <w:rPr>
          <w:rFonts w:cstheme="minorHAnsi"/>
          <w:sz w:val="24"/>
          <w:szCs w:val="24"/>
        </w:rPr>
        <w:t>are</w:t>
      </w:r>
      <w:r w:rsidR="007518CB" w:rsidRPr="005C6D34">
        <w:rPr>
          <w:rFonts w:cstheme="minorHAnsi"/>
          <w:sz w:val="24"/>
          <w:szCs w:val="24"/>
        </w:rPr>
        <w:t xml:space="preserve"> 6 connections available. Lagos has the highest share of internet connections</w:t>
      </w:r>
      <w:r w:rsidR="00FF70B3" w:rsidRPr="005C6D34">
        <w:rPr>
          <w:rFonts w:cstheme="minorHAnsi"/>
          <w:sz w:val="24"/>
          <w:szCs w:val="24"/>
        </w:rPr>
        <w:t>,</w:t>
      </w:r>
      <w:r w:rsidR="007518CB" w:rsidRPr="005C6D34">
        <w:rPr>
          <w:rFonts w:cstheme="minorHAnsi"/>
          <w:sz w:val="24"/>
          <w:szCs w:val="24"/>
        </w:rPr>
        <w:t xml:space="preserve"> </w:t>
      </w:r>
      <w:r w:rsidR="00570123" w:rsidRPr="005C6D34">
        <w:rPr>
          <w:rFonts w:cstheme="minorHAnsi"/>
          <w:sz w:val="24"/>
          <w:szCs w:val="24"/>
        </w:rPr>
        <w:t xml:space="preserve">at </w:t>
      </w:r>
      <w:r w:rsidR="007518CB" w:rsidRPr="005C6D34">
        <w:rPr>
          <w:rFonts w:cstheme="minorHAnsi"/>
          <w:sz w:val="24"/>
          <w:szCs w:val="24"/>
        </w:rPr>
        <w:t>12.5%</w:t>
      </w:r>
      <w:r w:rsidRPr="005C6D34">
        <w:rPr>
          <w:rFonts w:cstheme="minorHAnsi"/>
          <w:sz w:val="24"/>
          <w:szCs w:val="24"/>
        </w:rPr>
        <w:t xml:space="preserve"> connectivity</w:t>
      </w:r>
      <w:r w:rsidR="007518CB" w:rsidRPr="005C6D34">
        <w:rPr>
          <w:rFonts w:cstheme="minorHAnsi"/>
          <w:sz w:val="24"/>
          <w:szCs w:val="24"/>
        </w:rPr>
        <w:t xml:space="preserve"> </w:t>
      </w:r>
      <w:r w:rsidR="00570123" w:rsidRPr="005C6D34">
        <w:rPr>
          <w:rFonts w:cstheme="minorHAnsi"/>
          <w:sz w:val="24"/>
          <w:szCs w:val="24"/>
        </w:rPr>
        <w:t>and</w:t>
      </w:r>
      <w:r w:rsidR="007518CB" w:rsidRPr="005C6D34">
        <w:rPr>
          <w:rFonts w:cstheme="minorHAnsi"/>
          <w:sz w:val="24"/>
          <w:szCs w:val="24"/>
        </w:rPr>
        <w:t xml:space="preserve"> 1.3</w:t>
      </w:r>
      <w:r w:rsidRPr="005C6D34">
        <w:rPr>
          <w:rFonts w:cstheme="minorHAnsi"/>
          <w:sz w:val="24"/>
          <w:szCs w:val="24"/>
        </w:rPr>
        <w:t xml:space="preserve"> connections</w:t>
      </w:r>
      <w:r w:rsidR="007518CB" w:rsidRPr="005C6D34">
        <w:rPr>
          <w:rFonts w:cstheme="minorHAnsi"/>
          <w:sz w:val="24"/>
          <w:szCs w:val="24"/>
        </w:rPr>
        <w:t xml:space="preserve"> per head. Ogun has</w:t>
      </w:r>
      <w:r w:rsidR="00FF70B3" w:rsidRPr="005C6D34">
        <w:rPr>
          <w:rFonts w:cstheme="minorHAnsi"/>
          <w:sz w:val="24"/>
          <w:szCs w:val="24"/>
        </w:rPr>
        <w:t xml:space="preserve"> </w:t>
      </w:r>
      <w:r w:rsidR="007518CB" w:rsidRPr="005C6D34">
        <w:rPr>
          <w:rFonts w:cstheme="minorHAnsi"/>
          <w:sz w:val="24"/>
          <w:szCs w:val="24"/>
        </w:rPr>
        <w:t xml:space="preserve">6% </w:t>
      </w:r>
      <w:r w:rsidRPr="005C6D34">
        <w:rPr>
          <w:rFonts w:cstheme="minorHAnsi"/>
          <w:sz w:val="24"/>
          <w:szCs w:val="24"/>
        </w:rPr>
        <w:t>connectivity</w:t>
      </w:r>
      <w:r w:rsidR="007518CB" w:rsidRPr="005C6D34">
        <w:rPr>
          <w:rFonts w:cstheme="minorHAnsi"/>
          <w:sz w:val="24"/>
          <w:szCs w:val="24"/>
        </w:rPr>
        <w:t xml:space="preserve"> </w:t>
      </w:r>
      <w:r w:rsidR="00570123" w:rsidRPr="005C6D34">
        <w:rPr>
          <w:rFonts w:cstheme="minorHAnsi"/>
          <w:sz w:val="24"/>
          <w:szCs w:val="24"/>
        </w:rPr>
        <w:t>and</w:t>
      </w:r>
      <w:r w:rsidR="007518CB" w:rsidRPr="005C6D34">
        <w:rPr>
          <w:rFonts w:cstheme="minorHAnsi"/>
          <w:sz w:val="24"/>
          <w:szCs w:val="24"/>
        </w:rPr>
        <w:t xml:space="preserve"> 1.33 </w:t>
      </w:r>
      <w:r w:rsidRPr="005C6D34">
        <w:rPr>
          <w:rFonts w:cstheme="minorHAnsi"/>
          <w:sz w:val="24"/>
          <w:szCs w:val="24"/>
        </w:rPr>
        <w:t xml:space="preserve">connections </w:t>
      </w:r>
      <w:r w:rsidR="007518CB" w:rsidRPr="005C6D34">
        <w:rPr>
          <w:rFonts w:cstheme="minorHAnsi"/>
          <w:sz w:val="24"/>
          <w:szCs w:val="24"/>
        </w:rPr>
        <w:t>per head</w:t>
      </w:r>
      <w:r w:rsidR="00FF70B3" w:rsidRPr="005C6D34">
        <w:rPr>
          <w:rFonts w:cstheme="minorHAnsi"/>
          <w:sz w:val="24"/>
          <w:szCs w:val="24"/>
        </w:rPr>
        <w:t>,</w:t>
      </w:r>
      <w:r w:rsidR="007518CB" w:rsidRPr="005C6D34">
        <w:rPr>
          <w:rFonts w:cstheme="minorHAnsi"/>
          <w:sz w:val="24"/>
          <w:szCs w:val="24"/>
        </w:rPr>
        <w:t xml:space="preserve"> which is higher than Lagos due to its lower population. Abuja has 5.8% connectivity with 2.18 connections per head.</w:t>
      </w:r>
      <w:r w:rsidR="005B53CE" w:rsidRPr="005C6D34">
        <w:rPr>
          <w:rFonts w:cstheme="minorHAnsi"/>
          <w:sz w:val="24"/>
          <w:szCs w:val="24"/>
        </w:rPr>
        <w:t xml:space="preserve"> Kano </w:t>
      </w:r>
      <w:r w:rsidRPr="005C6D34">
        <w:rPr>
          <w:rFonts w:cstheme="minorHAnsi"/>
          <w:sz w:val="24"/>
          <w:szCs w:val="24"/>
        </w:rPr>
        <w:t xml:space="preserve">has </w:t>
      </w:r>
      <w:r w:rsidR="005B53CE" w:rsidRPr="005C6D34">
        <w:rPr>
          <w:rFonts w:cstheme="minorHAnsi"/>
          <w:sz w:val="24"/>
          <w:szCs w:val="24"/>
        </w:rPr>
        <w:t>5.8%</w:t>
      </w:r>
      <w:r w:rsidRPr="005C6D34">
        <w:rPr>
          <w:rFonts w:cstheme="minorHAnsi"/>
          <w:sz w:val="24"/>
          <w:szCs w:val="24"/>
        </w:rPr>
        <w:t xml:space="preserve"> connectivity,</w:t>
      </w:r>
      <w:r w:rsidR="005B53CE" w:rsidRPr="005C6D34">
        <w:rPr>
          <w:rFonts w:cstheme="minorHAnsi"/>
          <w:sz w:val="24"/>
          <w:szCs w:val="24"/>
        </w:rPr>
        <w:t xml:space="preserve"> Oyo </w:t>
      </w:r>
      <w:r w:rsidRPr="005C6D34">
        <w:rPr>
          <w:rFonts w:cstheme="minorHAnsi"/>
          <w:sz w:val="24"/>
          <w:szCs w:val="24"/>
        </w:rPr>
        <w:t xml:space="preserve">has </w:t>
      </w:r>
      <w:r w:rsidR="005B53CE" w:rsidRPr="005C6D34">
        <w:rPr>
          <w:rFonts w:cstheme="minorHAnsi"/>
          <w:sz w:val="24"/>
          <w:szCs w:val="24"/>
        </w:rPr>
        <w:t>5.3%</w:t>
      </w:r>
      <w:r w:rsidRPr="005C6D34">
        <w:rPr>
          <w:rFonts w:cstheme="minorHAnsi"/>
          <w:sz w:val="24"/>
          <w:szCs w:val="24"/>
        </w:rPr>
        <w:t xml:space="preserve"> connectivity</w:t>
      </w:r>
      <w:r w:rsidR="007518CB" w:rsidRPr="005C6D34">
        <w:rPr>
          <w:rFonts w:cstheme="minorHAnsi"/>
          <w:sz w:val="24"/>
          <w:szCs w:val="24"/>
        </w:rPr>
        <w:t xml:space="preserve"> </w:t>
      </w:r>
      <w:r w:rsidR="00570123" w:rsidRPr="005C6D34">
        <w:rPr>
          <w:rFonts w:cstheme="minorHAnsi"/>
          <w:sz w:val="24"/>
          <w:szCs w:val="24"/>
        </w:rPr>
        <w:t>and</w:t>
      </w:r>
      <w:r w:rsidR="007518CB" w:rsidRPr="005C6D34">
        <w:rPr>
          <w:rFonts w:cstheme="minorHAnsi"/>
          <w:sz w:val="24"/>
          <w:szCs w:val="24"/>
        </w:rPr>
        <w:t xml:space="preserve"> Kaduna </w:t>
      </w:r>
      <w:r w:rsidRPr="005C6D34">
        <w:rPr>
          <w:rFonts w:cstheme="minorHAnsi"/>
          <w:sz w:val="24"/>
          <w:szCs w:val="24"/>
        </w:rPr>
        <w:t>has</w:t>
      </w:r>
      <w:r w:rsidR="007518CB" w:rsidRPr="005C6D34">
        <w:rPr>
          <w:rFonts w:cstheme="minorHAnsi"/>
          <w:sz w:val="24"/>
          <w:szCs w:val="24"/>
        </w:rPr>
        <w:t xml:space="preserve"> 4.6%</w:t>
      </w:r>
      <w:r w:rsidRPr="005C6D34">
        <w:rPr>
          <w:rFonts w:cstheme="minorHAnsi"/>
          <w:sz w:val="24"/>
          <w:szCs w:val="24"/>
        </w:rPr>
        <w:t xml:space="preserve"> connectivity</w:t>
      </w:r>
      <w:r w:rsidR="007518CB" w:rsidRPr="005C6D34">
        <w:rPr>
          <w:rFonts w:cstheme="minorHAnsi"/>
          <w:sz w:val="24"/>
          <w:szCs w:val="24"/>
        </w:rPr>
        <w:t xml:space="preserve">. The other states </w:t>
      </w:r>
      <w:r w:rsidR="00D80068" w:rsidRPr="005C6D34">
        <w:rPr>
          <w:rFonts w:cstheme="minorHAnsi"/>
          <w:sz w:val="24"/>
          <w:szCs w:val="24"/>
        </w:rPr>
        <w:t>with</w:t>
      </w:r>
      <w:r w:rsidR="007518CB" w:rsidRPr="005C6D34">
        <w:rPr>
          <w:rFonts w:cstheme="minorHAnsi"/>
          <w:sz w:val="24"/>
          <w:szCs w:val="24"/>
        </w:rPr>
        <w:t xml:space="preserve"> </w:t>
      </w:r>
      <w:r w:rsidRPr="005C6D34">
        <w:rPr>
          <w:rFonts w:cstheme="minorHAnsi"/>
          <w:sz w:val="24"/>
          <w:szCs w:val="24"/>
        </w:rPr>
        <w:t xml:space="preserve">higher-than-average </w:t>
      </w:r>
      <w:r w:rsidR="007518CB" w:rsidRPr="005C6D34">
        <w:rPr>
          <w:rFonts w:cstheme="minorHAnsi"/>
          <w:sz w:val="24"/>
          <w:szCs w:val="24"/>
        </w:rPr>
        <w:t xml:space="preserve">internet connectivity </w:t>
      </w:r>
      <w:r w:rsidRPr="005C6D34">
        <w:rPr>
          <w:rFonts w:cstheme="minorHAnsi"/>
          <w:sz w:val="24"/>
          <w:szCs w:val="24"/>
        </w:rPr>
        <w:t xml:space="preserve">rates </w:t>
      </w:r>
      <w:r w:rsidR="007518CB" w:rsidRPr="005C6D34">
        <w:rPr>
          <w:rFonts w:cstheme="minorHAnsi"/>
          <w:sz w:val="24"/>
          <w:szCs w:val="24"/>
        </w:rPr>
        <w:t xml:space="preserve">are Rivers </w:t>
      </w:r>
      <w:r w:rsidR="00570123" w:rsidRPr="005C6D34">
        <w:rPr>
          <w:rFonts w:cstheme="minorHAnsi"/>
          <w:sz w:val="24"/>
          <w:szCs w:val="24"/>
        </w:rPr>
        <w:t>at</w:t>
      </w:r>
      <w:r w:rsidRPr="005C6D34">
        <w:rPr>
          <w:rFonts w:cstheme="minorHAnsi"/>
          <w:sz w:val="24"/>
          <w:szCs w:val="24"/>
        </w:rPr>
        <w:t xml:space="preserve"> </w:t>
      </w:r>
      <w:r w:rsidR="007518CB" w:rsidRPr="005C6D34">
        <w:rPr>
          <w:rFonts w:cstheme="minorHAnsi"/>
          <w:sz w:val="24"/>
          <w:szCs w:val="24"/>
        </w:rPr>
        <w:t xml:space="preserve">3.7%, Edo </w:t>
      </w:r>
      <w:r w:rsidR="00570123" w:rsidRPr="005C6D34">
        <w:rPr>
          <w:rFonts w:cstheme="minorHAnsi"/>
          <w:sz w:val="24"/>
          <w:szCs w:val="24"/>
        </w:rPr>
        <w:t>at</w:t>
      </w:r>
      <w:r w:rsidRPr="005C6D34">
        <w:rPr>
          <w:rFonts w:cstheme="minorHAnsi"/>
          <w:sz w:val="24"/>
          <w:szCs w:val="24"/>
        </w:rPr>
        <w:t xml:space="preserve"> </w:t>
      </w:r>
      <w:r w:rsidR="007518CB" w:rsidRPr="005C6D34">
        <w:rPr>
          <w:rFonts w:cstheme="minorHAnsi"/>
          <w:sz w:val="24"/>
          <w:szCs w:val="24"/>
        </w:rPr>
        <w:t xml:space="preserve">3.6%, Delta </w:t>
      </w:r>
      <w:r w:rsidR="00570123" w:rsidRPr="005C6D34">
        <w:rPr>
          <w:rFonts w:cstheme="minorHAnsi"/>
          <w:sz w:val="24"/>
          <w:szCs w:val="24"/>
        </w:rPr>
        <w:t>at</w:t>
      </w:r>
      <w:r w:rsidR="007518CB" w:rsidRPr="005C6D34">
        <w:rPr>
          <w:rFonts w:cstheme="minorHAnsi"/>
          <w:sz w:val="24"/>
          <w:szCs w:val="24"/>
        </w:rPr>
        <w:t xml:space="preserve"> 3.5% </w:t>
      </w:r>
      <w:r w:rsidR="00570123" w:rsidRPr="005C6D34">
        <w:rPr>
          <w:rFonts w:cstheme="minorHAnsi"/>
          <w:sz w:val="24"/>
          <w:szCs w:val="24"/>
        </w:rPr>
        <w:t>and</w:t>
      </w:r>
      <w:r w:rsidR="007518CB" w:rsidRPr="005C6D34">
        <w:rPr>
          <w:rFonts w:cstheme="minorHAnsi"/>
          <w:sz w:val="24"/>
          <w:szCs w:val="24"/>
        </w:rPr>
        <w:t xml:space="preserve"> Anambra</w:t>
      </w:r>
      <w:r w:rsidRPr="005C6D34">
        <w:rPr>
          <w:rFonts w:cstheme="minorHAnsi"/>
          <w:sz w:val="24"/>
          <w:szCs w:val="24"/>
        </w:rPr>
        <w:t xml:space="preserve"> </w:t>
      </w:r>
      <w:r w:rsidR="00570123" w:rsidRPr="005C6D34">
        <w:rPr>
          <w:rFonts w:cstheme="minorHAnsi"/>
          <w:sz w:val="24"/>
          <w:szCs w:val="24"/>
        </w:rPr>
        <w:t>at</w:t>
      </w:r>
      <w:r w:rsidR="007518CB" w:rsidRPr="005C6D34">
        <w:rPr>
          <w:rFonts w:cstheme="minorHAnsi"/>
          <w:sz w:val="24"/>
          <w:szCs w:val="24"/>
        </w:rPr>
        <w:t xml:space="preserve"> 2.8%. </w:t>
      </w:r>
    </w:p>
    <w:p w14:paraId="0F758AA5" w14:textId="4AB1DF87" w:rsidR="007518CB" w:rsidRPr="005C6D34" w:rsidRDefault="007518CB" w:rsidP="000A687F">
      <w:pPr>
        <w:spacing w:line="360" w:lineRule="auto"/>
        <w:jc w:val="both"/>
        <w:rPr>
          <w:rFonts w:cstheme="minorHAnsi"/>
          <w:sz w:val="24"/>
          <w:szCs w:val="24"/>
        </w:rPr>
      </w:pPr>
      <w:r w:rsidRPr="005C6D34">
        <w:rPr>
          <w:rFonts w:cstheme="minorHAnsi"/>
          <w:sz w:val="24"/>
          <w:szCs w:val="24"/>
        </w:rPr>
        <w:t xml:space="preserve">Figure 1 shows that the </w:t>
      </w:r>
      <w:r w:rsidR="00C22800" w:rsidRPr="005C6D34">
        <w:rPr>
          <w:rFonts w:cstheme="minorHAnsi"/>
          <w:sz w:val="24"/>
          <w:szCs w:val="24"/>
        </w:rPr>
        <w:t>geo-political zone</w:t>
      </w:r>
      <w:r w:rsidRPr="005C6D34">
        <w:rPr>
          <w:rFonts w:cstheme="minorHAnsi"/>
          <w:sz w:val="24"/>
          <w:szCs w:val="24"/>
        </w:rPr>
        <w:t xml:space="preserve"> with the highest internet </w:t>
      </w:r>
      <w:r w:rsidR="00232E62" w:rsidRPr="005C6D34">
        <w:rPr>
          <w:rFonts w:cstheme="minorHAnsi"/>
          <w:sz w:val="24"/>
          <w:szCs w:val="24"/>
        </w:rPr>
        <w:t>usage</w:t>
      </w:r>
      <w:r w:rsidRPr="005C6D34">
        <w:rPr>
          <w:rFonts w:cstheme="minorHAnsi"/>
          <w:sz w:val="24"/>
          <w:szCs w:val="24"/>
        </w:rPr>
        <w:t xml:space="preserve"> </w:t>
      </w:r>
      <w:r w:rsidR="008F7705" w:rsidRPr="005C6D34">
        <w:rPr>
          <w:rFonts w:cstheme="minorHAnsi"/>
          <w:sz w:val="24"/>
          <w:szCs w:val="24"/>
        </w:rPr>
        <w:t xml:space="preserve">per head </w:t>
      </w:r>
      <w:r w:rsidRPr="005C6D34">
        <w:rPr>
          <w:rFonts w:cstheme="minorHAnsi"/>
          <w:sz w:val="24"/>
          <w:szCs w:val="24"/>
        </w:rPr>
        <w:t xml:space="preserve">is the SW </w:t>
      </w:r>
      <w:r w:rsidR="00570123" w:rsidRPr="005C6D34">
        <w:rPr>
          <w:rFonts w:cstheme="minorHAnsi"/>
          <w:sz w:val="24"/>
          <w:szCs w:val="24"/>
        </w:rPr>
        <w:t>at</w:t>
      </w:r>
      <w:r w:rsidRPr="005C6D34">
        <w:rPr>
          <w:rFonts w:cstheme="minorHAnsi"/>
          <w:sz w:val="24"/>
          <w:szCs w:val="24"/>
        </w:rPr>
        <w:t xml:space="preserve"> </w:t>
      </w:r>
      <w:r w:rsidR="008F7705" w:rsidRPr="005C6D34">
        <w:rPr>
          <w:rFonts w:cstheme="minorHAnsi"/>
          <w:sz w:val="24"/>
          <w:szCs w:val="24"/>
        </w:rPr>
        <w:t>and</w:t>
      </w:r>
      <w:r w:rsidRPr="005C6D34">
        <w:rPr>
          <w:rFonts w:cstheme="minorHAnsi"/>
          <w:sz w:val="24"/>
          <w:szCs w:val="24"/>
        </w:rPr>
        <w:t xml:space="preserve"> </w:t>
      </w:r>
      <w:r w:rsidR="00BE4022" w:rsidRPr="005C6D34">
        <w:rPr>
          <w:rFonts w:cstheme="minorHAnsi"/>
          <w:sz w:val="24"/>
          <w:szCs w:val="24"/>
        </w:rPr>
        <w:t xml:space="preserve">the </w:t>
      </w:r>
      <w:r w:rsidRPr="005C6D34">
        <w:rPr>
          <w:rFonts w:cstheme="minorHAnsi"/>
          <w:sz w:val="24"/>
          <w:szCs w:val="24"/>
        </w:rPr>
        <w:t xml:space="preserve">NC </w:t>
      </w:r>
      <w:r w:rsidR="008F7705" w:rsidRPr="005C6D34">
        <w:rPr>
          <w:rFonts w:cstheme="minorHAnsi"/>
          <w:sz w:val="24"/>
          <w:szCs w:val="24"/>
        </w:rPr>
        <w:t xml:space="preserve">with </w:t>
      </w:r>
      <w:r w:rsidR="00427932" w:rsidRPr="005C6D34">
        <w:rPr>
          <w:rFonts w:cstheme="minorHAnsi"/>
          <w:sz w:val="24"/>
          <w:szCs w:val="24"/>
        </w:rPr>
        <w:t xml:space="preserve">9 out of every 10 </w:t>
      </w:r>
      <w:r w:rsidR="00AA7F59" w:rsidRPr="005C6D34">
        <w:rPr>
          <w:rFonts w:cstheme="minorHAnsi"/>
          <w:sz w:val="24"/>
          <w:szCs w:val="24"/>
        </w:rPr>
        <w:t>people</w:t>
      </w:r>
      <w:r w:rsidR="00427932" w:rsidRPr="005C6D34">
        <w:rPr>
          <w:rFonts w:cstheme="minorHAnsi"/>
          <w:sz w:val="24"/>
          <w:szCs w:val="24"/>
        </w:rPr>
        <w:t xml:space="preserve"> being able to use the internet.</w:t>
      </w:r>
      <w:r w:rsidR="00BE4022" w:rsidRPr="005C6D34">
        <w:rPr>
          <w:rFonts w:cstheme="minorHAnsi"/>
          <w:sz w:val="24"/>
          <w:szCs w:val="24"/>
        </w:rPr>
        <w:t xml:space="preserve"> </w:t>
      </w:r>
      <w:r w:rsidR="00B72B54" w:rsidRPr="005C6D34">
        <w:rPr>
          <w:rFonts w:cstheme="minorHAnsi"/>
          <w:sz w:val="24"/>
          <w:szCs w:val="24"/>
        </w:rPr>
        <w:t>The SS and SE trail behind</w:t>
      </w:r>
      <w:r w:rsidR="00FD211E" w:rsidRPr="005C6D34">
        <w:rPr>
          <w:rFonts w:cstheme="minorHAnsi"/>
          <w:sz w:val="24"/>
          <w:szCs w:val="24"/>
        </w:rPr>
        <w:t xml:space="preserve"> with 0.7 and 0.6, respectively. The </w:t>
      </w:r>
      <w:r w:rsidRPr="005C6D34">
        <w:rPr>
          <w:rFonts w:cstheme="minorHAnsi"/>
          <w:sz w:val="24"/>
          <w:szCs w:val="24"/>
        </w:rPr>
        <w:t xml:space="preserve">NW </w:t>
      </w:r>
      <w:r w:rsidR="00773B3A" w:rsidRPr="005C6D34">
        <w:rPr>
          <w:rFonts w:cstheme="minorHAnsi"/>
          <w:sz w:val="24"/>
          <w:szCs w:val="24"/>
        </w:rPr>
        <w:t xml:space="preserve">and NE have the lowest internet </w:t>
      </w:r>
      <w:r w:rsidR="00A40F72" w:rsidRPr="005C6D34">
        <w:rPr>
          <w:rFonts w:cstheme="minorHAnsi"/>
          <w:sz w:val="24"/>
          <w:szCs w:val="24"/>
        </w:rPr>
        <w:t>connection</w:t>
      </w:r>
      <w:r w:rsidR="00773B3A" w:rsidRPr="005C6D34">
        <w:rPr>
          <w:rFonts w:cstheme="minorHAnsi"/>
          <w:sz w:val="24"/>
          <w:szCs w:val="24"/>
        </w:rPr>
        <w:t xml:space="preserve"> per head with 4 out of 10 people connected to the </w:t>
      </w:r>
      <w:r w:rsidR="00AA7F59" w:rsidRPr="005C6D34">
        <w:rPr>
          <w:rFonts w:cstheme="minorHAnsi"/>
          <w:sz w:val="24"/>
          <w:szCs w:val="24"/>
        </w:rPr>
        <w:t>internet.</w:t>
      </w:r>
    </w:p>
    <w:p w14:paraId="0E0CABD4" w14:textId="28408AE7" w:rsidR="007518CB" w:rsidRPr="005C6D34" w:rsidRDefault="00BE4022" w:rsidP="000A687F">
      <w:pPr>
        <w:spacing w:line="360" w:lineRule="auto"/>
        <w:jc w:val="both"/>
        <w:rPr>
          <w:rFonts w:cstheme="minorHAnsi"/>
          <w:sz w:val="24"/>
          <w:szCs w:val="24"/>
        </w:rPr>
      </w:pPr>
      <w:r w:rsidRPr="005C6D34">
        <w:rPr>
          <w:rFonts w:cstheme="minorHAnsi"/>
          <w:sz w:val="24"/>
          <w:szCs w:val="24"/>
        </w:rPr>
        <w:t>As shown in Table 1, Imo has the highest unemployment rate among the working-age population. Imo has</w:t>
      </w:r>
      <w:r w:rsidR="007518CB" w:rsidRPr="005C6D34">
        <w:rPr>
          <w:rFonts w:cstheme="minorHAnsi"/>
          <w:sz w:val="24"/>
          <w:szCs w:val="24"/>
        </w:rPr>
        <w:t xml:space="preserve"> a 56.6% unemployment rate. There are six states with </w:t>
      </w:r>
      <w:r w:rsidRPr="005C6D34">
        <w:rPr>
          <w:rFonts w:cstheme="minorHAnsi"/>
          <w:sz w:val="24"/>
          <w:szCs w:val="24"/>
        </w:rPr>
        <w:t xml:space="preserve">an unemployment rate of </w:t>
      </w:r>
      <w:r w:rsidR="007518CB" w:rsidRPr="005C6D34">
        <w:rPr>
          <w:rFonts w:cstheme="minorHAnsi"/>
          <w:sz w:val="24"/>
          <w:szCs w:val="24"/>
        </w:rPr>
        <w:t xml:space="preserve">over 50% in Nigeria. </w:t>
      </w:r>
      <w:r w:rsidR="006244BC" w:rsidRPr="005C6D34">
        <w:rPr>
          <w:rFonts w:cstheme="minorHAnsi"/>
          <w:sz w:val="24"/>
          <w:szCs w:val="24"/>
        </w:rPr>
        <w:t xml:space="preserve">These are </w:t>
      </w:r>
      <w:proofErr w:type="spellStart"/>
      <w:r w:rsidR="007518CB" w:rsidRPr="005C6D34">
        <w:rPr>
          <w:rFonts w:cstheme="minorHAnsi"/>
          <w:sz w:val="24"/>
          <w:szCs w:val="24"/>
        </w:rPr>
        <w:t>Abia</w:t>
      </w:r>
      <w:proofErr w:type="spellEnd"/>
      <w:r w:rsidR="007518CB" w:rsidRPr="005C6D34">
        <w:rPr>
          <w:rFonts w:cstheme="minorHAnsi"/>
          <w:sz w:val="24"/>
          <w:szCs w:val="24"/>
        </w:rPr>
        <w:t xml:space="preserve"> </w:t>
      </w:r>
      <w:r w:rsidR="00274FED" w:rsidRPr="005C6D34">
        <w:rPr>
          <w:rFonts w:cstheme="minorHAnsi"/>
          <w:sz w:val="24"/>
          <w:szCs w:val="24"/>
        </w:rPr>
        <w:t>at</w:t>
      </w:r>
      <w:r w:rsidR="007518CB" w:rsidRPr="005C6D34">
        <w:rPr>
          <w:rFonts w:cstheme="minorHAnsi"/>
          <w:sz w:val="24"/>
          <w:szCs w:val="24"/>
        </w:rPr>
        <w:t xml:space="preserve"> 50.1%, Adamawa </w:t>
      </w:r>
      <w:r w:rsidR="00274FED" w:rsidRPr="005C6D34">
        <w:rPr>
          <w:rFonts w:cstheme="minorHAnsi"/>
          <w:sz w:val="24"/>
          <w:szCs w:val="24"/>
        </w:rPr>
        <w:t>at</w:t>
      </w:r>
      <w:r w:rsidR="007518CB" w:rsidRPr="005C6D34">
        <w:rPr>
          <w:rFonts w:cstheme="minorHAnsi"/>
          <w:sz w:val="24"/>
          <w:szCs w:val="24"/>
        </w:rPr>
        <w:t xml:space="preserve"> 54.9%, Cross River</w:t>
      </w:r>
      <w:r w:rsidR="00274FED" w:rsidRPr="005C6D34">
        <w:rPr>
          <w:rFonts w:cstheme="minorHAnsi"/>
          <w:sz w:val="24"/>
          <w:szCs w:val="24"/>
        </w:rPr>
        <w:t xml:space="preserve"> at </w:t>
      </w:r>
      <w:r w:rsidR="007518CB" w:rsidRPr="005C6D34">
        <w:rPr>
          <w:rFonts w:cstheme="minorHAnsi"/>
          <w:sz w:val="24"/>
          <w:szCs w:val="24"/>
        </w:rPr>
        <w:t xml:space="preserve">51% </w:t>
      </w:r>
      <w:r w:rsidR="00274FED" w:rsidRPr="005C6D34">
        <w:rPr>
          <w:rFonts w:cstheme="minorHAnsi"/>
          <w:sz w:val="24"/>
          <w:szCs w:val="24"/>
        </w:rPr>
        <w:t>and</w:t>
      </w:r>
      <w:r w:rsidR="007518CB" w:rsidRPr="005C6D34">
        <w:rPr>
          <w:rFonts w:cstheme="minorHAnsi"/>
          <w:sz w:val="24"/>
          <w:szCs w:val="24"/>
        </w:rPr>
        <w:t xml:space="preserve"> Yobe </w:t>
      </w:r>
      <w:r w:rsidR="00274FED" w:rsidRPr="005C6D34">
        <w:rPr>
          <w:rFonts w:cstheme="minorHAnsi"/>
          <w:sz w:val="24"/>
          <w:szCs w:val="24"/>
        </w:rPr>
        <w:t xml:space="preserve">at </w:t>
      </w:r>
      <w:r w:rsidR="007518CB" w:rsidRPr="005C6D34">
        <w:rPr>
          <w:rFonts w:cstheme="minorHAnsi"/>
          <w:sz w:val="24"/>
          <w:szCs w:val="24"/>
        </w:rPr>
        <w:t xml:space="preserve">52.6%. The </w:t>
      </w:r>
      <w:r w:rsidR="000C7197" w:rsidRPr="005C6D34">
        <w:rPr>
          <w:rFonts w:cstheme="minorHAnsi"/>
          <w:sz w:val="24"/>
          <w:szCs w:val="24"/>
        </w:rPr>
        <w:t>SE</w:t>
      </w:r>
      <w:r w:rsidR="00FE4E50" w:rsidRPr="005C6D34">
        <w:rPr>
          <w:rFonts w:cstheme="minorHAnsi"/>
          <w:sz w:val="24"/>
          <w:szCs w:val="24"/>
        </w:rPr>
        <w:t xml:space="preserve"> has</w:t>
      </w:r>
      <w:r w:rsidR="007518CB" w:rsidRPr="005C6D34">
        <w:rPr>
          <w:rFonts w:cstheme="minorHAnsi"/>
          <w:sz w:val="24"/>
          <w:szCs w:val="24"/>
        </w:rPr>
        <w:t xml:space="preserve"> the highest unemployment rate with an average unemployment rate of 44.5%, followed by SS with an average rate of 43.8%. The SW has the lowest unemployment rate of 22.1%</w:t>
      </w:r>
      <w:r w:rsidR="00D80068" w:rsidRPr="005C6D34">
        <w:rPr>
          <w:rFonts w:cstheme="minorHAnsi"/>
          <w:sz w:val="24"/>
          <w:szCs w:val="24"/>
        </w:rPr>
        <w:t>,</w:t>
      </w:r>
      <w:r w:rsidR="007518CB" w:rsidRPr="005C6D34">
        <w:rPr>
          <w:rFonts w:cstheme="minorHAnsi"/>
          <w:sz w:val="24"/>
          <w:szCs w:val="24"/>
        </w:rPr>
        <w:t xml:space="preserve"> </w:t>
      </w:r>
      <w:r w:rsidR="006244BC" w:rsidRPr="005C6D34">
        <w:rPr>
          <w:rFonts w:cstheme="minorHAnsi"/>
          <w:sz w:val="24"/>
          <w:szCs w:val="24"/>
        </w:rPr>
        <w:t xml:space="preserve">with </w:t>
      </w:r>
      <w:r w:rsidR="007518CB" w:rsidRPr="005C6D34">
        <w:rPr>
          <w:rFonts w:cstheme="minorHAnsi"/>
          <w:sz w:val="24"/>
          <w:szCs w:val="24"/>
        </w:rPr>
        <w:t xml:space="preserve">four </w:t>
      </w:r>
      <w:r w:rsidR="006244BC" w:rsidRPr="005C6D34">
        <w:rPr>
          <w:rFonts w:cstheme="minorHAnsi"/>
          <w:sz w:val="24"/>
          <w:szCs w:val="24"/>
        </w:rPr>
        <w:t xml:space="preserve">of its </w:t>
      </w:r>
      <w:r w:rsidR="007518CB" w:rsidRPr="005C6D34">
        <w:rPr>
          <w:rFonts w:cstheme="minorHAnsi"/>
          <w:sz w:val="24"/>
          <w:szCs w:val="24"/>
        </w:rPr>
        <w:t>states</w:t>
      </w:r>
      <w:r w:rsidR="006244BC" w:rsidRPr="005C6D34">
        <w:rPr>
          <w:rFonts w:cstheme="minorHAnsi"/>
          <w:sz w:val="24"/>
          <w:szCs w:val="24"/>
        </w:rPr>
        <w:t xml:space="preserve"> –</w:t>
      </w:r>
      <w:r w:rsidR="007518CB" w:rsidRPr="005C6D34">
        <w:rPr>
          <w:rFonts w:cstheme="minorHAnsi"/>
          <w:sz w:val="24"/>
          <w:szCs w:val="24"/>
        </w:rPr>
        <w:t xml:space="preserve"> Ogun, Ondo, Osun </w:t>
      </w:r>
      <w:r w:rsidR="00274FED" w:rsidRPr="005C6D34">
        <w:rPr>
          <w:rFonts w:cstheme="minorHAnsi"/>
          <w:sz w:val="24"/>
          <w:szCs w:val="24"/>
        </w:rPr>
        <w:t>and</w:t>
      </w:r>
      <w:r w:rsidR="007518CB" w:rsidRPr="005C6D34">
        <w:rPr>
          <w:rFonts w:cstheme="minorHAnsi"/>
          <w:sz w:val="24"/>
          <w:szCs w:val="24"/>
        </w:rPr>
        <w:t xml:space="preserve"> Oyo</w:t>
      </w:r>
      <w:r w:rsidR="006244BC" w:rsidRPr="005C6D34">
        <w:rPr>
          <w:rFonts w:cstheme="minorHAnsi"/>
          <w:sz w:val="24"/>
          <w:szCs w:val="24"/>
        </w:rPr>
        <w:t xml:space="preserve"> – </w:t>
      </w:r>
      <w:r w:rsidR="007518CB" w:rsidRPr="005C6D34">
        <w:rPr>
          <w:rFonts w:cstheme="minorHAnsi"/>
          <w:sz w:val="24"/>
          <w:szCs w:val="24"/>
        </w:rPr>
        <w:t xml:space="preserve"> </w:t>
      </w:r>
      <w:r w:rsidR="006244BC" w:rsidRPr="005C6D34">
        <w:rPr>
          <w:rFonts w:cstheme="minorHAnsi"/>
          <w:sz w:val="24"/>
          <w:szCs w:val="24"/>
        </w:rPr>
        <w:t>having</w:t>
      </w:r>
      <w:r w:rsidR="007518CB" w:rsidRPr="005C6D34">
        <w:rPr>
          <w:rFonts w:cstheme="minorHAnsi"/>
          <w:sz w:val="24"/>
          <w:szCs w:val="24"/>
        </w:rPr>
        <w:t xml:space="preserve"> the lowest unemployment rate</w:t>
      </w:r>
      <w:r w:rsidR="00274FED" w:rsidRPr="005C6D34">
        <w:rPr>
          <w:rFonts w:cstheme="minorHAnsi"/>
          <w:sz w:val="24"/>
          <w:szCs w:val="24"/>
        </w:rPr>
        <w:t>s</w:t>
      </w:r>
      <w:r w:rsidR="007518CB" w:rsidRPr="005C6D34">
        <w:rPr>
          <w:rFonts w:cstheme="minorHAnsi"/>
          <w:sz w:val="24"/>
          <w:szCs w:val="24"/>
        </w:rPr>
        <w:t xml:space="preserve"> in the country. </w:t>
      </w:r>
      <w:r w:rsidR="006244BC" w:rsidRPr="005C6D34">
        <w:rPr>
          <w:rFonts w:cstheme="minorHAnsi"/>
          <w:sz w:val="24"/>
          <w:szCs w:val="24"/>
        </w:rPr>
        <w:t xml:space="preserve">The </w:t>
      </w:r>
      <w:r w:rsidR="007518CB" w:rsidRPr="005C6D34">
        <w:rPr>
          <w:rFonts w:cstheme="minorHAnsi"/>
          <w:sz w:val="24"/>
          <w:szCs w:val="24"/>
        </w:rPr>
        <w:t>NW follows with 25.5%</w:t>
      </w:r>
      <w:r w:rsidR="006244BC" w:rsidRPr="005C6D34">
        <w:rPr>
          <w:rFonts w:cstheme="minorHAnsi"/>
          <w:sz w:val="24"/>
          <w:szCs w:val="24"/>
        </w:rPr>
        <w:t>, with three of its states –</w:t>
      </w:r>
      <w:r w:rsidR="007518CB" w:rsidRPr="005C6D34">
        <w:rPr>
          <w:rFonts w:cstheme="minorHAnsi"/>
          <w:sz w:val="24"/>
          <w:szCs w:val="24"/>
        </w:rPr>
        <w:t xml:space="preserve"> Zamfara, Kebbi </w:t>
      </w:r>
      <w:r w:rsidR="00274FED" w:rsidRPr="005C6D34">
        <w:rPr>
          <w:rFonts w:cstheme="minorHAnsi"/>
          <w:sz w:val="24"/>
          <w:szCs w:val="24"/>
        </w:rPr>
        <w:t>and</w:t>
      </w:r>
      <w:r w:rsidR="007518CB" w:rsidRPr="005C6D34">
        <w:rPr>
          <w:rFonts w:cstheme="minorHAnsi"/>
          <w:sz w:val="24"/>
          <w:szCs w:val="24"/>
        </w:rPr>
        <w:t xml:space="preserve"> Sokoto</w:t>
      </w:r>
      <w:r w:rsidR="006244BC" w:rsidRPr="005C6D34">
        <w:rPr>
          <w:rFonts w:cstheme="minorHAnsi"/>
          <w:sz w:val="24"/>
          <w:szCs w:val="24"/>
        </w:rPr>
        <w:t xml:space="preserve"> – having </w:t>
      </w:r>
      <w:r w:rsidR="007518CB" w:rsidRPr="005C6D34">
        <w:rPr>
          <w:rFonts w:cstheme="minorHAnsi"/>
          <w:sz w:val="24"/>
          <w:szCs w:val="24"/>
        </w:rPr>
        <w:t>unemployment rates lower than 20%. The NC also recorded a 29% unemployment rate</w:t>
      </w:r>
      <w:r w:rsidR="00D80068" w:rsidRPr="005C6D34">
        <w:rPr>
          <w:rFonts w:cstheme="minorHAnsi"/>
          <w:sz w:val="24"/>
          <w:szCs w:val="24"/>
        </w:rPr>
        <w:t>,</w:t>
      </w:r>
      <w:r w:rsidR="007518CB" w:rsidRPr="005C6D34">
        <w:rPr>
          <w:rFonts w:cstheme="minorHAnsi"/>
          <w:sz w:val="24"/>
          <w:szCs w:val="24"/>
        </w:rPr>
        <w:t xml:space="preserve"> with Benue </w:t>
      </w:r>
      <w:r w:rsidR="00274FED" w:rsidRPr="005C6D34">
        <w:rPr>
          <w:rFonts w:cstheme="minorHAnsi"/>
          <w:sz w:val="24"/>
          <w:szCs w:val="24"/>
        </w:rPr>
        <w:t>and</w:t>
      </w:r>
      <w:r w:rsidR="007518CB" w:rsidRPr="005C6D34">
        <w:rPr>
          <w:rFonts w:cstheme="minorHAnsi"/>
          <w:sz w:val="24"/>
          <w:szCs w:val="24"/>
        </w:rPr>
        <w:t xml:space="preserve"> </w:t>
      </w:r>
      <w:proofErr w:type="spellStart"/>
      <w:r w:rsidR="007518CB" w:rsidRPr="005C6D34">
        <w:rPr>
          <w:rFonts w:cstheme="minorHAnsi"/>
          <w:sz w:val="24"/>
          <w:szCs w:val="24"/>
        </w:rPr>
        <w:t>Kwara</w:t>
      </w:r>
      <w:proofErr w:type="spellEnd"/>
      <w:r w:rsidR="007518CB" w:rsidRPr="005C6D34">
        <w:rPr>
          <w:rFonts w:cstheme="minorHAnsi"/>
          <w:sz w:val="24"/>
          <w:szCs w:val="24"/>
        </w:rPr>
        <w:t xml:space="preserve"> </w:t>
      </w:r>
      <w:r w:rsidR="006244BC" w:rsidRPr="005C6D34">
        <w:rPr>
          <w:rFonts w:cstheme="minorHAnsi"/>
          <w:sz w:val="24"/>
          <w:szCs w:val="24"/>
        </w:rPr>
        <w:t xml:space="preserve">having unemployment rates of </w:t>
      </w:r>
      <w:r w:rsidR="007518CB" w:rsidRPr="005C6D34">
        <w:rPr>
          <w:rFonts w:cstheme="minorHAnsi"/>
          <w:sz w:val="24"/>
          <w:szCs w:val="24"/>
        </w:rPr>
        <w:t xml:space="preserve">12% </w:t>
      </w:r>
      <w:r w:rsidR="00274FED" w:rsidRPr="005C6D34">
        <w:rPr>
          <w:rFonts w:cstheme="minorHAnsi"/>
          <w:sz w:val="24"/>
          <w:szCs w:val="24"/>
        </w:rPr>
        <w:t>and</w:t>
      </w:r>
      <w:r w:rsidR="007518CB" w:rsidRPr="005C6D34">
        <w:rPr>
          <w:rFonts w:cstheme="minorHAnsi"/>
          <w:sz w:val="24"/>
          <w:szCs w:val="24"/>
        </w:rPr>
        <w:t xml:space="preserve"> 16%</w:t>
      </w:r>
      <w:r w:rsidR="006244BC" w:rsidRPr="005C6D34">
        <w:rPr>
          <w:rFonts w:cstheme="minorHAnsi"/>
          <w:sz w:val="24"/>
          <w:szCs w:val="24"/>
        </w:rPr>
        <w:t xml:space="preserve">, </w:t>
      </w:r>
      <w:r w:rsidR="007518CB" w:rsidRPr="005C6D34">
        <w:rPr>
          <w:rFonts w:cstheme="minorHAnsi"/>
          <w:sz w:val="24"/>
          <w:szCs w:val="24"/>
        </w:rPr>
        <w:t xml:space="preserve">respectively. </w:t>
      </w:r>
      <w:r w:rsidR="00DF73AD" w:rsidRPr="005C6D34">
        <w:rPr>
          <w:rFonts w:cstheme="minorHAnsi"/>
          <w:sz w:val="24"/>
          <w:szCs w:val="24"/>
        </w:rPr>
        <w:t>The</w:t>
      </w:r>
      <w:r w:rsidR="006244BC" w:rsidRPr="005C6D34">
        <w:rPr>
          <w:rFonts w:cstheme="minorHAnsi"/>
          <w:sz w:val="24"/>
          <w:szCs w:val="24"/>
        </w:rPr>
        <w:t xml:space="preserve"> unemployment rates in these </w:t>
      </w:r>
      <w:r w:rsidR="00DF73AD" w:rsidRPr="005C6D34">
        <w:rPr>
          <w:rFonts w:cstheme="minorHAnsi"/>
          <w:sz w:val="24"/>
          <w:szCs w:val="24"/>
        </w:rPr>
        <w:t xml:space="preserve">three </w:t>
      </w:r>
      <w:r w:rsidR="00C22800" w:rsidRPr="005C6D34">
        <w:rPr>
          <w:rFonts w:cstheme="minorHAnsi"/>
          <w:sz w:val="24"/>
          <w:szCs w:val="24"/>
        </w:rPr>
        <w:t>geo-political zone</w:t>
      </w:r>
      <w:r w:rsidR="00DF73AD" w:rsidRPr="005C6D34">
        <w:rPr>
          <w:rFonts w:cstheme="minorHAnsi"/>
          <w:sz w:val="24"/>
          <w:szCs w:val="24"/>
        </w:rPr>
        <w:t xml:space="preserve">s </w:t>
      </w:r>
      <w:r w:rsidR="006244BC" w:rsidRPr="005C6D34">
        <w:rPr>
          <w:rFonts w:cstheme="minorHAnsi"/>
          <w:sz w:val="24"/>
          <w:szCs w:val="24"/>
        </w:rPr>
        <w:t>are</w:t>
      </w:r>
      <w:r w:rsidR="00DF73AD" w:rsidRPr="005C6D34">
        <w:rPr>
          <w:rFonts w:cstheme="minorHAnsi"/>
          <w:sz w:val="24"/>
          <w:szCs w:val="24"/>
        </w:rPr>
        <w:t xml:space="preserve"> below the </w:t>
      </w:r>
      <w:r w:rsidR="006244BC" w:rsidRPr="005C6D34">
        <w:rPr>
          <w:rFonts w:cstheme="minorHAnsi"/>
          <w:sz w:val="24"/>
          <w:szCs w:val="24"/>
        </w:rPr>
        <w:t xml:space="preserve">national </w:t>
      </w:r>
      <w:r w:rsidR="00DF73AD" w:rsidRPr="005C6D34">
        <w:rPr>
          <w:rFonts w:cstheme="minorHAnsi"/>
          <w:sz w:val="24"/>
          <w:szCs w:val="24"/>
        </w:rPr>
        <w:t xml:space="preserve">average </w:t>
      </w:r>
      <w:r w:rsidR="006244BC" w:rsidRPr="005C6D34">
        <w:rPr>
          <w:rFonts w:cstheme="minorHAnsi"/>
          <w:sz w:val="24"/>
          <w:szCs w:val="24"/>
        </w:rPr>
        <w:t xml:space="preserve">unemployment rate </w:t>
      </w:r>
      <w:r w:rsidR="00DF73AD" w:rsidRPr="005C6D34">
        <w:rPr>
          <w:rFonts w:cstheme="minorHAnsi"/>
          <w:sz w:val="24"/>
          <w:szCs w:val="24"/>
        </w:rPr>
        <w:t>of 33.7%</w:t>
      </w:r>
      <w:r w:rsidR="007518CB" w:rsidRPr="005C6D34">
        <w:rPr>
          <w:rFonts w:cstheme="minorHAnsi"/>
          <w:sz w:val="24"/>
          <w:szCs w:val="24"/>
        </w:rPr>
        <w:t>.</w:t>
      </w:r>
    </w:p>
    <w:p w14:paraId="5974F16E" w14:textId="043C188A" w:rsidR="00E312EA" w:rsidRPr="005C6D34" w:rsidRDefault="007518CB" w:rsidP="000A687F">
      <w:pPr>
        <w:spacing w:line="360" w:lineRule="auto"/>
        <w:jc w:val="both"/>
        <w:rPr>
          <w:rFonts w:cstheme="minorHAnsi"/>
          <w:sz w:val="24"/>
          <w:szCs w:val="24"/>
        </w:rPr>
      </w:pPr>
      <w:r w:rsidRPr="005C6D34">
        <w:rPr>
          <w:rFonts w:cstheme="minorHAnsi"/>
          <w:sz w:val="24"/>
          <w:szCs w:val="24"/>
        </w:rPr>
        <w:t xml:space="preserve">The </w:t>
      </w:r>
      <w:r w:rsidR="00101A40" w:rsidRPr="005C6D34">
        <w:rPr>
          <w:rFonts w:cstheme="minorHAnsi"/>
          <w:sz w:val="24"/>
          <w:szCs w:val="24"/>
        </w:rPr>
        <w:t>share</w:t>
      </w:r>
      <w:r w:rsidRPr="005C6D34">
        <w:rPr>
          <w:rFonts w:cstheme="minorHAnsi"/>
          <w:sz w:val="24"/>
          <w:szCs w:val="24"/>
        </w:rPr>
        <w:t xml:space="preserve"> of the population </w:t>
      </w:r>
      <w:r w:rsidR="00315782" w:rsidRPr="005C6D34">
        <w:rPr>
          <w:rFonts w:cstheme="minorHAnsi"/>
          <w:sz w:val="24"/>
          <w:szCs w:val="24"/>
        </w:rPr>
        <w:t xml:space="preserve">in poverty and deprivation (MPI) </w:t>
      </w:r>
      <w:r w:rsidRPr="005C6D34">
        <w:rPr>
          <w:rFonts w:cstheme="minorHAnsi"/>
          <w:sz w:val="24"/>
          <w:szCs w:val="24"/>
        </w:rPr>
        <w:t xml:space="preserve">is shown in Table 1. </w:t>
      </w:r>
      <w:r w:rsidR="00460BC6" w:rsidRPr="005C6D34">
        <w:rPr>
          <w:rFonts w:cstheme="minorHAnsi"/>
          <w:sz w:val="24"/>
          <w:szCs w:val="24"/>
        </w:rPr>
        <w:t xml:space="preserve">Also, </w:t>
      </w:r>
      <w:r w:rsidR="00483AD7" w:rsidRPr="005C6D34">
        <w:rPr>
          <w:rFonts w:cstheme="minorHAnsi"/>
          <w:sz w:val="24"/>
          <w:szCs w:val="24"/>
        </w:rPr>
        <w:t>Kebbi</w:t>
      </w:r>
      <w:r w:rsidR="00CA1AD5" w:rsidRPr="005C6D34">
        <w:rPr>
          <w:rFonts w:cstheme="minorHAnsi"/>
          <w:sz w:val="24"/>
          <w:szCs w:val="24"/>
        </w:rPr>
        <w:t xml:space="preserve"> – 58.5%</w:t>
      </w:r>
      <w:r w:rsidR="00F21E5A" w:rsidRPr="005C6D34">
        <w:rPr>
          <w:rFonts w:cstheme="minorHAnsi"/>
          <w:sz w:val="24"/>
          <w:szCs w:val="24"/>
        </w:rPr>
        <w:t xml:space="preserve"> and </w:t>
      </w:r>
      <w:r w:rsidRPr="005C6D34">
        <w:rPr>
          <w:rFonts w:cstheme="minorHAnsi"/>
          <w:sz w:val="24"/>
          <w:szCs w:val="24"/>
        </w:rPr>
        <w:t>Sokoto</w:t>
      </w:r>
      <w:r w:rsidR="00CA1AD5" w:rsidRPr="005C6D34">
        <w:rPr>
          <w:rFonts w:cstheme="minorHAnsi"/>
          <w:sz w:val="24"/>
          <w:szCs w:val="24"/>
        </w:rPr>
        <w:t xml:space="preserve"> – 55.5% </w:t>
      </w:r>
      <w:r w:rsidRPr="005C6D34">
        <w:rPr>
          <w:rFonts w:cstheme="minorHAnsi"/>
          <w:sz w:val="24"/>
          <w:szCs w:val="24"/>
        </w:rPr>
        <w:t xml:space="preserve">have the highest </w:t>
      </w:r>
      <w:r w:rsidR="004923A9" w:rsidRPr="005C6D34">
        <w:rPr>
          <w:rFonts w:cstheme="minorHAnsi"/>
          <w:sz w:val="24"/>
          <w:szCs w:val="24"/>
        </w:rPr>
        <w:t>MPI</w:t>
      </w:r>
      <w:r w:rsidR="00514872" w:rsidRPr="005C6D34">
        <w:rPr>
          <w:rFonts w:cstheme="minorHAnsi"/>
          <w:sz w:val="24"/>
          <w:szCs w:val="24"/>
        </w:rPr>
        <w:t xml:space="preserve"> </w:t>
      </w:r>
      <w:r w:rsidR="00F21E5A" w:rsidRPr="005C6D34">
        <w:rPr>
          <w:rFonts w:cstheme="minorHAnsi"/>
          <w:sz w:val="24"/>
          <w:szCs w:val="24"/>
        </w:rPr>
        <w:t>which is over 50%</w:t>
      </w:r>
      <w:r w:rsidR="00514872" w:rsidRPr="005C6D34">
        <w:rPr>
          <w:rFonts w:cstheme="minorHAnsi"/>
          <w:sz w:val="24"/>
          <w:szCs w:val="24"/>
        </w:rPr>
        <w:t xml:space="preserve">. </w:t>
      </w:r>
      <w:r w:rsidR="00EE4D2E" w:rsidRPr="005C6D34">
        <w:rPr>
          <w:rFonts w:cstheme="minorHAnsi"/>
          <w:sz w:val="24"/>
          <w:szCs w:val="24"/>
        </w:rPr>
        <w:t xml:space="preserve">Figure </w:t>
      </w:r>
      <w:r w:rsidR="007C63D2" w:rsidRPr="005C6D34">
        <w:rPr>
          <w:rFonts w:cstheme="minorHAnsi"/>
          <w:sz w:val="24"/>
          <w:szCs w:val="24"/>
        </w:rPr>
        <w:t>1</w:t>
      </w:r>
      <w:r w:rsidR="00EE4D2E" w:rsidRPr="005C6D34">
        <w:rPr>
          <w:rFonts w:cstheme="minorHAnsi"/>
          <w:sz w:val="24"/>
          <w:szCs w:val="24"/>
        </w:rPr>
        <w:t xml:space="preserve"> shows </w:t>
      </w:r>
      <w:r w:rsidR="00E238B8" w:rsidRPr="005C6D34">
        <w:rPr>
          <w:rFonts w:cstheme="minorHAnsi"/>
          <w:sz w:val="24"/>
          <w:szCs w:val="24"/>
        </w:rPr>
        <w:t xml:space="preserve">the </w:t>
      </w:r>
      <w:r w:rsidR="006D464E" w:rsidRPr="005C6D34">
        <w:rPr>
          <w:rFonts w:cstheme="minorHAnsi"/>
          <w:sz w:val="24"/>
          <w:szCs w:val="24"/>
        </w:rPr>
        <w:t xml:space="preserve">NE and </w:t>
      </w:r>
      <w:r w:rsidR="006D464E" w:rsidRPr="005C6D34">
        <w:rPr>
          <w:rFonts w:cstheme="minorHAnsi"/>
          <w:sz w:val="24"/>
          <w:szCs w:val="24"/>
        </w:rPr>
        <w:lastRenderedPageBreak/>
        <w:t>NW</w:t>
      </w:r>
      <w:r w:rsidR="00EE4D2E" w:rsidRPr="005C6D34">
        <w:rPr>
          <w:rFonts w:cstheme="minorHAnsi"/>
          <w:sz w:val="24"/>
          <w:szCs w:val="24"/>
        </w:rPr>
        <w:t xml:space="preserve"> </w:t>
      </w:r>
      <w:r w:rsidR="006D464E" w:rsidRPr="005C6D34">
        <w:rPr>
          <w:rFonts w:cstheme="minorHAnsi"/>
          <w:sz w:val="24"/>
          <w:szCs w:val="24"/>
        </w:rPr>
        <w:t xml:space="preserve">have </w:t>
      </w:r>
      <w:r w:rsidR="004923A9" w:rsidRPr="005C6D34">
        <w:rPr>
          <w:rFonts w:cstheme="minorHAnsi"/>
          <w:sz w:val="24"/>
          <w:szCs w:val="24"/>
        </w:rPr>
        <w:t>the highest MPI with</w:t>
      </w:r>
      <w:r w:rsidRPr="005C6D34">
        <w:rPr>
          <w:rFonts w:cstheme="minorHAnsi"/>
          <w:sz w:val="24"/>
          <w:szCs w:val="24"/>
        </w:rPr>
        <w:t xml:space="preserve"> </w:t>
      </w:r>
      <w:r w:rsidR="00841FAB" w:rsidRPr="005C6D34">
        <w:rPr>
          <w:rFonts w:cstheme="minorHAnsi"/>
          <w:sz w:val="24"/>
          <w:szCs w:val="24"/>
        </w:rPr>
        <w:t>4</w:t>
      </w:r>
      <w:r w:rsidRPr="005C6D34">
        <w:rPr>
          <w:rFonts w:cstheme="minorHAnsi"/>
          <w:sz w:val="24"/>
          <w:szCs w:val="24"/>
        </w:rPr>
        <w:t>2</w:t>
      </w:r>
      <w:r w:rsidR="00841FAB" w:rsidRPr="005C6D34">
        <w:rPr>
          <w:rFonts w:cstheme="minorHAnsi"/>
          <w:sz w:val="24"/>
          <w:szCs w:val="24"/>
        </w:rPr>
        <w:t>% and 45</w:t>
      </w:r>
      <w:r w:rsidRPr="005C6D34">
        <w:rPr>
          <w:rFonts w:cstheme="minorHAnsi"/>
          <w:sz w:val="24"/>
          <w:szCs w:val="24"/>
        </w:rPr>
        <w:t>.5%,</w:t>
      </w:r>
      <w:r w:rsidR="00841FAB" w:rsidRPr="005C6D34">
        <w:rPr>
          <w:rFonts w:cstheme="minorHAnsi"/>
          <w:sz w:val="24"/>
          <w:szCs w:val="24"/>
        </w:rPr>
        <w:t xml:space="preserve"> respectively.</w:t>
      </w:r>
      <w:r w:rsidRPr="005C6D34">
        <w:rPr>
          <w:rFonts w:cstheme="minorHAnsi"/>
          <w:sz w:val="24"/>
          <w:szCs w:val="24"/>
        </w:rPr>
        <w:t xml:space="preserve"> These two </w:t>
      </w:r>
      <w:r w:rsidR="00C22800" w:rsidRPr="005C6D34">
        <w:rPr>
          <w:rFonts w:cstheme="minorHAnsi"/>
          <w:sz w:val="24"/>
          <w:szCs w:val="24"/>
        </w:rPr>
        <w:t>geo-political zone</w:t>
      </w:r>
      <w:r w:rsidRPr="005C6D34">
        <w:rPr>
          <w:rFonts w:cstheme="minorHAnsi"/>
          <w:sz w:val="24"/>
          <w:szCs w:val="24"/>
        </w:rPr>
        <w:t>s</w:t>
      </w:r>
      <w:r w:rsidR="00E238B8" w:rsidRPr="005C6D34">
        <w:rPr>
          <w:rFonts w:cstheme="minorHAnsi"/>
          <w:sz w:val="24"/>
          <w:szCs w:val="24"/>
        </w:rPr>
        <w:t>, from the northern region,</w:t>
      </w:r>
      <w:r w:rsidRPr="005C6D34">
        <w:rPr>
          <w:rFonts w:cstheme="minorHAnsi"/>
          <w:sz w:val="24"/>
          <w:szCs w:val="24"/>
        </w:rPr>
        <w:t xml:space="preserve"> </w:t>
      </w:r>
      <w:r w:rsidR="00222366" w:rsidRPr="005C6D34">
        <w:rPr>
          <w:rFonts w:cstheme="minorHAnsi"/>
          <w:sz w:val="24"/>
          <w:szCs w:val="24"/>
        </w:rPr>
        <w:t>are the only regions that have</w:t>
      </w:r>
      <w:r w:rsidRPr="005C6D34">
        <w:rPr>
          <w:rFonts w:cstheme="minorHAnsi"/>
          <w:sz w:val="24"/>
          <w:szCs w:val="24"/>
        </w:rPr>
        <w:t xml:space="preserve"> a </w:t>
      </w:r>
      <w:r w:rsidR="00DF73AD" w:rsidRPr="005C6D34">
        <w:rPr>
          <w:rFonts w:cstheme="minorHAnsi"/>
          <w:sz w:val="24"/>
          <w:szCs w:val="24"/>
        </w:rPr>
        <w:t>rate</w:t>
      </w:r>
      <w:r w:rsidRPr="005C6D34">
        <w:rPr>
          <w:rFonts w:cstheme="minorHAnsi"/>
          <w:sz w:val="24"/>
          <w:szCs w:val="24"/>
        </w:rPr>
        <w:t xml:space="preserve"> </w:t>
      </w:r>
      <w:r w:rsidR="00222366" w:rsidRPr="005C6D34">
        <w:rPr>
          <w:rFonts w:cstheme="minorHAnsi"/>
          <w:sz w:val="24"/>
          <w:szCs w:val="24"/>
        </w:rPr>
        <w:t xml:space="preserve">that is higher </w:t>
      </w:r>
      <w:r w:rsidRPr="005C6D34">
        <w:rPr>
          <w:rFonts w:cstheme="minorHAnsi"/>
          <w:sz w:val="24"/>
          <w:szCs w:val="24"/>
        </w:rPr>
        <w:t xml:space="preserve">than the </w:t>
      </w:r>
      <w:r w:rsidR="006244BC" w:rsidRPr="005C6D34">
        <w:rPr>
          <w:rFonts w:cstheme="minorHAnsi"/>
          <w:color w:val="000000" w:themeColor="text1"/>
          <w:sz w:val="24"/>
          <w:szCs w:val="24"/>
        </w:rPr>
        <w:t xml:space="preserve">national </w:t>
      </w:r>
      <w:r w:rsidRPr="005C6D34">
        <w:rPr>
          <w:rFonts w:cstheme="minorHAnsi"/>
          <w:color w:val="000000" w:themeColor="text1"/>
          <w:sz w:val="24"/>
          <w:szCs w:val="24"/>
        </w:rPr>
        <w:t xml:space="preserve">average of </w:t>
      </w:r>
      <w:r w:rsidR="00CE5881" w:rsidRPr="005C6D34">
        <w:rPr>
          <w:rFonts w:cstheme="minorHAnsi"/>
          <w:color w:val="000000" w:themeColor="text1"/>
          <w:sz w:val="24"/>
          <w:szCs w:val="24"/>
        </w:rPr>
        <w:t>25.4</w:t>
      </w:r>
      <w:r w:rsidRPr="005C6D34">
        <w:rPr>
          <w:rFonts w:cstheme="minorHAnsi"/>
          <w:color w:val="000000" w:themeColor="text1"/>
          <w:sz w:val="24"/>
          <w:szCs w:val="24"/>
        </w:rPr>
        <w:t>%</w:t>
      </w:r>
      <w:r w:rsidRPr="005C6D34">
        <w:rPr>
          <w:rFonts w:cstheme="minorHAnsi"/>
          <w:sz w:val="24"/>
          <w:szCs w:val="24"/>
        </w:rPr>
        <w:t>. The NC has</w:t>
      </w:r>
      <w:r w:rsidR="006244BC" w:rsidRPr="005C6D34">
        <w:rPr>
          <w:rFonts w:cstheme="minorHAnsi"/>
          <w:sz w:val="24"/>
          <w:szCs w:val="24"/>
        </w:rPr>
        <w:t xml:space="preserve"> a rate of</w:t>
      </w:r>
      <w:r w:rsidRPr="005C6D34">
        <w:rPr>
          <w:rFonts w:cstheme="minorHAnsi"/>
          <w:sz w:val="24"/>
          <w:szCs w:val="24"/>
        </w:rPr>
        <w:t xml:space="preserve"> </w:t>
      </w:r>
      <w:r w:rsidR="006A78F1" w:rsidRPr="005C6D34">
        <w:rPr>
          <w:rFonts w:cstheme="minorHAnsi"/>
          <w:sz w:val="24"/>
          <w:szCs w:val="24"/>
        </w:rPr>
        <w:t>20.6</w:t>
      </w:r>
      <w:r w:rsidRPr="005C6D34">
        <w:rPr>
          <w:rFonts w:cstheme="minorHAnsi"/>
          <w:sz w:val="24"/>
          <w:szCs w:val="24"/>
        </w:rPr>
        <w:t>%</w:t>
      </w:r>
      <w:r w:rsidR="006A78F1" w:rsidRPr="005C6D34">
        <w:rPr>
          <w:rFonts w:cstheme="minorHAnsi"/>
          <w:sz w:val="24"/>
          <w:szCs w:val="24"/>
        </w:rPr>
        <w:t xml:space="preserve">, while the southern region </w:t>
      </w:r>
      <w:r w:rsidR="00484CB3" w:rsidRPr="005C6D34">
        <w:rPr>
          <w:rFonts w:cstheme="minorHAnsi"/>
          <w:sz w:val="24"/>
          <w:szCs w:val="24"/>
        </w:rPr>
        <w:t>has</w:t>
      </w:r>
      <w:r w:rsidR="006A78F1" w:rsidRPr="005C6D34">
        <w:rPr>
          <w:rFonts w:cstheme="minorHAnsi"/>
          <w:sz w:val="24"/>
          <w:szCs w:val="24"/>
        </w:rPr>
        <w:t xml:space="preserve"> an MPI rate lower than 10%.</w:t>
      </w:r>
      <w:r w:rsidR="00DC6586" w:rsidRPr="005C6D34">
        <w:rPr>
          <w:rFonts w:cstheme="minorHAnsi"/>
          <w:sz w:val="24"/>
          <w:szCs w:val="24"/>
        </w:rPr>
        <w:t xml:space="preserve"> </w:t>
      </w:r>
    </w:p>
    <w:p w14:paraId="0DCC717B" w14:textId="374E872A" w:rsidR="007518CB" w:rsidRPr="005C6D34" w:rsidRDefault="007518CB" w:rsidP="000A687F">
      <w:pPr>
        <w:spacing w:line="360" w:lineRule="auto"/>
        <w:jc w:val="both"/>
        <w:rPr>
          <w:rFonts w:cstheme="minorHAnsi"/>
          <w:noProof/>
          <w:sz w:val="24"/>
          <w:szCs w:val="24"/>
        </w:rPr>
      </w:pPr>
      <w:r w:rsidRPr="005C6D34">
        <w:rPr>
          <w:rFonts w:cstheme="minorHAnsi"/>
          <w:noProof/>
          <w:sz w:val="24"/>
          <w:szCs w:val="24"/>
        </w:rPr>
        <w:t xml:space="preserve">Figure </w:t>
      </w:r>
      <w:r w:rsidR="007C63D2" w:rsidRPr="005C6D34">
        <w:rPr>
          <w:rFonts w:cstheme="minorHAnsi"/>
          <w:noProof/>
          <w:sz w:val="24"/>
          <w:szCs w:val="24"/>
        </w:rPr>
        <w:t>1</w:t>
      </w:r>
      <w:r w:rsidRPr="005C6D34">
        <w:rPr>
          <w:rFonts w:cstheme="minorHAnsi"/>
          <w:noProof/>
          <w:sz w:val="24"/>
          <w:szCs w:val="24"/>
        </w:rPr>
        <w:t xml:space="preserve"> </w:t>
      </w:r>
      <w:r w:rsidR="00484CB3" w:rsidRPr="005C6D34">
        <w:rPr>
          <w:rFonts w:cstheme="minorHAnsi"/>
          <w:noProof/>
          <w:sz w:val="24"/>
          <w:szCs w:val="24"/>
        </w:rPr>
        <w:t xml:space="preserve">also </w:t>
      </w:r>
      <w:r w:rsidRPr="005C6D34">
        <w:rPr>
          <w:rFonts w:cstheme="minorHAnsi"/>
          <w:noProof/>
          <w:sz w:val="24"/>
          <w:szCs w:val="24"/>
        </w:rPr>
        <w:t>breaks</w:t>
      </w:r>
      <w:r w:rsidR="00DF73AD" w:rsidRPr="005C6D34">
        <w:rPr>
          <w:rFonts w:cstheme="minorHAnsi"/>
          <w:noProof/>
          <w:sz w:val="24"/>
          <w:szCs w:val="24"/>
        </w:rPr>
        <w:t xml:space="preserve"> </w:t>
      </w:r>
      <w:r w:rsidRPr="005C6D34">
        <w:rPr>
          <w:rFonts w:cstheme="minorHAnsi"/>
          <w:noProof/>
          <w:sz w:val="24"/>
          <w:szCs w:val="24"/>
        </w:rPr>
        <w:t>down the unemployment rate across age</w:t>
      </w:r>
      <w:r w:rsidR="00B52F7E" w:rsidRPr="005C6D34">
        <w:rPr>
          <w:rFonts w:cstheme="minorHAnsi"/>
          <w:noProof/>
          <w:sz w:val="24"/>
          <w:szCs w:val="24"/>
        </w:rPr>
        <w:t xml:space="preserve"> </w:t>
      </w:r>
      <w:r w:rsidRPr="005C6D34">
        <w:rPr>
          <w:rFonts w:cstheme="minorHAnsi"/>
          <w:noProof/>
          <w:sz w:val="24"/>
          <w:szCs w:val="24"/>
        </w:rPr>
        <w:t>group</w:t>
      </w:r>
      <w:r w:rsidR="00B52F7E" w:rsidRPr="005C6D34">
        <w:rPr>
          <w:rFonts w:cstheme="minorHAnsi"/>
          <w:noProof/>
          <w:sz w:val="24"/>
          <w:szCs w:val="24"/>
        </w:rPr>
        <w:t>s</w:t>
      </w:r>
      <w:r w:rsidRPr="005C6D34">
        <w:rPr>
          <w:rFonts w:cstheme="minorHAnsi"/>
          <w:noProof/>
          <w:sz w:val="24"/>
          <w:szCs w:val="24"/>
        </w:rPr>
        <w:t xml:space="preserve">. </w:t>
      </w:r>
      <w:r w:rsidR="00B52F7E" w:rsidRPr="005C6D34">
        <w:rPr>
          <w:rFonts w:cstheme="minorHAnsi"/>
          <w:noProof/>
          <w:sz w:val="24"/>
          <w:szCs w:val="24"/>
        </w:rPr>
        <w:t xml:space="preserve">Age </w:t>
      </w:r>
      <w:r w:rsidRPr="005C6D34">
        <w:rPr>
          <w:rFonts w:cstheme="minorHAnsi"/>
          <w:noProof/>
          <w:sz w:val="24"/>
          <w:szCs w:val="24"/>
        </w:rPr>
        <w:t>group</w:t>
      </w:r>
      <w:r w:rsidR="00B52F7E" w:rsidRPr="005C6D34">
        <w:rPr>
          <w:rFonts w:cstheme="minorHAnsi"/>
          <w:noProof/>
          <w:sz w:val="24"/>
          <w:szCs w:val="24"/>
        </w:rPr>
        <w:t>s</w:t>
      </w:r>
      <w:r w:rsidRPr="005C6D34">
        <w:rPr>
          <w:rFonts w:cstheme="minorHAnsi"/>
          <w:noProof/>
          <w:sz w:val="24"/>
          <w:szCs w:val="24"/>
        </w:rPr>
        <w:t xml:space="preserve"> are important as they form the </w:t>
      </w:r>
      <w:r w:rsidR="00FE6B75" w:rsidRPr="005C6D34">
        <w:rPr>
          <w:rFonts w:cstheme="minorHAnsi"/>
          <w:noProof/>
          <w:sz w:val="24"/>
          <w:szCs w:val="24"/>
        </w:rPr>
        <w:t>country</w:t>
      </w:r>
      <w:r w:rsidR="00A03141" w:rsidRPr="005C6D34">
        <w:rPr>
          <w:rFonts w:cstheme="minorHAnsi"/>
          <w:noProof/>
          <w:sz w:val="24"/>
          <w:szCs w:val="24"/>
        </w:rPr>
        <w:t>’</w:t>
      </w:r>
      <w:r w:rsidR="00FE6B75" w:rsidRPr="005C6D34">
        <w:rPr>
          <w:rFonts w:cstheme="minorHAnsi"/>
          <w:noProof/>
          <w:sz w:val="24"/>
          <w:szCs w:val="24"/>
        </w:rPr>
        <w:t xml:space="preserve">s voting </w:t>
      </w:r>
      <w:r w:rsidR="00274FED" w:rsidRPr="005C6D34">
        <w:rPr>
          <w:rFonts w:cstheme="minorHAnsi"/>
          <w:noProof/>
          <w:sz w:val="24"/>
          <w:szCs w:val="24"/>
        </w:rPr>
        <w:t>and</w:t>
      </w:r>
      <w:r w:rsidR="00FE6B75" w:rsidRPr="005C6D34">
        <w:rPr>
          <w:rFonts w:cstheme="minorHAnsi"/>
          <w:noProof/>
          <w:sz w:val="24"/>
          <w:szCs w:val="24"/>
        </w:rPr>
        <w:t xml:space="preserve"> disenfranchised groups,</w:t>
      </w:r>
      <w:r w:rsidRPr="005C6D34">
        <w:rPr>
          <w:rFonts w:cstheme="minorHAnsi"/>
          <w:noProof/>
          <w:sz w:val="24"/>
          <w:szCs w:val="24"/>
        </w:rPr>
        <w:t xml:space="preserve"> as reported in the 2019 elections </w:t>
      </w:r>
      <w:r w:rsidR="006658DC" w:rsidRPr="005C6D34">
        <w:rPr>
          <w:rFonts w:cstheme="minorHAnsi"/>
          <w:noProof/>
          <w:sz w:val="24"/>
          <w:szCs w:val="24"/>
        </w:rPr>
        <w:t>(</w:t>
      </w:r>
      <w:r w:rsidRPr="005C6D34">
        <w:rPr>
          <w:rFonts w:cstheme="minorHAnsi"/>
          <w:noProof/>
          <w:sz w:val="24"/>
          <w:szCs w:val="24"/>
        </w:rPr>
        <w:t xml:space="preserve">INEC </w:t>
      </w:r>
      <w:r w:rsidR="006658DC" w:rsidRPr="005C6D34">
        <w:rPr>
          <w:rFonts w:cstheme="minorHAnsi"/>
          <w:noProof/>
          <w:sz w:val="24"/>
          <w:szCs w:val="24"/>
        </w:rPr>
        <w:t>2019)</w:t>
      </w:r>
      <w:r w:rsidRPr="005C6D34">
        <w:rPr>
          <w:rFonts w:cstheme="minorHAnsi"/>
          <w:noProof/>
          <w:sz w:val="24"/>
          <w:szCs w:val="24"/>
        </w:rPr>
        <w:t xml:space="preserve">. The younger age group </w:t>
      </w:r>
      <w:r w:rsidR="00EF6240" w:rsidRPr="005C6D34">
        <w:rPr>
          <w:rFonts w:cstheme="minorHAnsi"/>
          <w:noProof/>
          <w:sz w:val="24"/>
          <w:szCs w:val="24"/>
        </w:rPr>
        <w:t xml:space="preserve">aged </w:t>
      </w:r>
      <w:r w:rsidRPr="005C6D34">
        <w:rPr>
          <w:rFonts w:cstheme="minorHAnsi"/>
          <w:noProof/>
          <w:sz w:val="24"/>
          <w:szCs w:val="24"/>
        </w:rPr>
        <w:t>15</w:t>
      </w:r>
      <w:r w:rsidR="00407AF2" w:rsidRPr="005C6D34">
        <w:rPr>
          <w:rFonts w:cstheme="minorHAnsi"/>
          <w:noProof/>
          <w:sz w:val="24"/>
          <w:szCs w:val="24"/>
        </w:rPr>
        <w:t>–</w:t>
      </w:r>
      <w:r w:rsidRPr="005C6D34">
        <w:rPr>
          <w:rFonts w:cstheme="minorHAnsi"/>
          <w:noProof/>
          <w:sz w:val="24"/>
          <w:szCs w:val="24"/>
        </w:rPr>
        <w:t>34 have the highest unemployment rate in the country. The middle</w:t>
      </w:r>
      <w:r w:rsidR="00EF6240" w:rsidRPr="005C6D34">
        <w:rPr>
          <w:rFonts w:cstheme="minorHAnsi"/>
          <w:noProof/>
          <w:sz w:val="24"/>
          <w:szCs w:val="24"/>
        </w:rPr>
        <w:t>-</w:t>
      </w:r>
      <w:r w:rsidRPr="005C6D34">
        <w:rPr>
          <w:rFonts w:cstheme="minorHAnsi"/>
          <w:noProof/>
          <w:sz w:val="24"/>
          <w:szCs w:val="24"/>
        </w:rPr>
        <w:t xml:space="preserve">aged </w:t>
      </w:r>
      <w:r w:rsidR="00274FED" w:rsidRPr="005C6D34">
        <w:rPr>
          <w:rFonts w:cstheme="minorHAnsi"/>
          <w:noProof/>
          <w:sz w:val="24"/>
          <w:szCs w:val="24"/>
        </w:rPr>
        <w:t>and</w:t>
      </w:r>
      <w:r w:rsidRPr="005C6D34">
        <w:rPr>
          <w:rFonts w:cstheme="minorHAnsi"/>
          <w:noProof/>
          <w:sz w:val="24"/>
          <w:szCs w:val="24"/>
        </w:rPr>
        <w:t xml:space="preserve"> the older generation have an unemployment rate of around 50%. The information about the poverty </w:t>
      </w:r>
      <w:r w:rsidR="00274FED" w:rsidRPr="005C6D34">
        <w:rPr>
          <w:rFonts w:cstheme="minorHAnsi"/>
          <w:noProof/>
          <w:sz w:val="24"/>
          <w:szCs w:val="24"/>
        </w:rPr>
        <w:t>and</w:t>
      </w:r>
      <w:r w:rsidRPr="005C6D34">
        <w:rPr>
          <w:rFonts w:cstheme="minorHAnsi"/>
          <w:noProof/>
          <w:sz w:val="24"/>
          <w:szCs w:val="24"/>
        </w:rPr>
        <w:t xml:space="preserve"> unemployment </w:t>
      </w:r>
      <w:r w:rsidR="00274FED" w:rsidRPr="005C6D34">
        <w:rPr>
          <w:rFonts w:cstheme="minorHAnsi"/>
          <w:noProof/>
          <w:sz w:val="24"/>
          <w:szCs w:val="24"/>
        </w:rPr>
        <w:t xml:space="preserve">rates </w:t>
      </w:r>
      <w:r w:rsidRPr="005C6D34">
        <w:rPr>
          <w:rFonts w:cstheme="minorHAnsi"/>
          <w:noProof/>
          <w:sz w:val="24"/>
          <w:szCs w:val="24"/>
        </w:rPr>
        <w:t>explains the social class of the population</w:t>
      </w:r>
      <w:r w:rsidR="00EF6240" w:rsidRPr="005C6D34">
        <w:rPr>
          <w:rFonts w:cstheme="minorHAnsi"/>
          <w:noProof/>
          <w:sz w:val="24"/>
          <w:szCs w:val="24"/>
        </w:rPr>
        <w:t>,</w:t>
      </w:r>
      <w:r w:rsidRPr="005C6D34">
        <w:rPr>
          <w:rFonts w:cstheme="minorHAnsi"/>
          <w:noProof/>
          <w:sz w:val="24"/>
          <w:szCs w:val="24"/>
        </w:rPr>
        <w:t xml:space="preserve"> which is predominantly poor </w:t>
      </w:r>
      <w:r w:rsidR="00274FED" w:rsidRPr="005C6D34">
        <w:rPr>
          <w:rFonts w:cstheme="minorHAnsi"/>
          <w:noProof/>
          <w:sz w:val="24"/>
          <w:szCs w:val="24"/>
        </w:rPr>
        <w:t>and</w:t>
      </w:r>
      <w:r w:rsidRPr="005C6D34">
        <w:rPr>
          <w:rFonts w:cstheme="minorHAnsi"/>
          <w:noProof/>
          <w:sz w:val="24"/>
          <w:szCs w:val="24"/>
        </w:rPr>
        <w:t xml:space="preserve"> </w:t>
      </w:r>
      <w:r w:rsidR="00375B74" w:rsidRPr="005C6D34">
        <w:rPr>
          <w:rFonts w:cstheme="minorHAnsi"/>
          <w:noProof/>
          <w:sz w:val="24"/>
          <w:szCs w:val="24"/>
        </w:rPr>
        <w:t xml:space="preserve">it is likely they will be </w:t>
      </w:r>
      <w:r w:rsidRPr="005C6D34">
        <w:rPr>
          <w:rFonts w:cstheme="minorHAnsi"/>
          <w:noProof/>
          <w:sz w:val="24"/>
          <w:szCs w:val="24"/>
        </w:rPr>
        <w:t>voting</w:t>
      </w:r>
      <w:r w:rsidR="00375B74" w:rsidRPr="005C6D34">
        <w:rPr>
          <w:rFonts w:cstheme="minorHAnsi"/>
          <w:noProof/>
          <w:sz w:val="24"/>
          <w:szCs w:val="24"/>
        </w:rPr>
        <w:t xml:space="preserve"> because of their circumstances.</w:t>
      </w:r>
    </w:p>
    <w:p w14:paraId="772A2C4F" w14:textId="3B3496DC" w:rsidR="007518CB" w:rsidRPr="005C6D34" w:rsidRDefault="007518CB" w:rsidP="000A687F">
      <w:pPr>
        <w:keepNext/>
        <w:spacing w:after="0" w:line="360" w:lineRule="auto"/>
        <w:jc w:val="center"/>
        <w:rPr>
          <w:rFonts w:cstheme="minorHAnsi"/>
          <w:sz w:val="24"/>
          <w:szCs w:val="24"/>
        </w:rPr>
      </w:pPr>
      <w:r w:rsidRPr="005C6D34">
        <w:rPr>
          <w:rFonts w:cstheme="minorHAnsi"/>
          <w:noProof/>
          <w:sz w:val="24"/>
          <w:szCs w:val="24"/>
          <w:lang w:val="en-US"/>
        </w:rPr>
        <w:drawing>
          <wp:inline distT="0" distB="0" distL="0" distR="0" wp14:anchorId="5C68D9DF" wp14:editId="266992E1">
            <wp:extent cx="5318760" cy="2758440"/>
            <wp:effectExtent l="0" t="0" r="15240" b="3810"/>
            <wp:docPr id="9" name="Chart 9">
              <a:extLst xmlns:a="http://schemas.openxmlformats.org/drawingml/2006/main">
                <a:ext uri="{FF2B5EF4-FFF2-40B4-BE49-F238E27FC236}">
                  <a16:creationId xmlns:a16="http://schemas.microsoft.com/office/drawing/2014/main" id="{F9F1FE14-6475-4D7F-91E8-37E4A64899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7F2CE7C" w14:textId="3E2E23BF" w:rsidR="007518CB" w:rsidRPr="005C6D34" w:rsidRDefault="007518CB" w:rsidP="000A687F">
      <w:pPr>
        <w:pStyle w:val="Caption"/>
        <w:spacing w:line="360" w:lineRule="auto"/>
        <w:jc w:val="center"/>
        <w:rPr>
          <w:rFonts w:cstheme="minorHAnsi"/>
          <w:noProof/>
          <w:sz w:val="24"/>
          <w:szCs w:val="24"/>
        </w:rPr>
      </w:pPr>
      <w:r w:rsidRPr="005C6D34">
        <w:rPr>
          <w:rFonts w:cstheme="minorHAnsi"/>
          <w:sz w:val="24"/>
          <w:szCs w:val="24"/>
        </w:rPr>
        <w:t xml:space="preserve">Figure </w:t>
      </w:r>
      <w:r w:rsidRPr="005C6D34">
        <w:rPr>
          <w:rFonts w:cstheme="minorHAnsi"/>
          <w:sz w:val="24"/>
          <w:szCs w:val="24"/>
        </w:rPr>
        <w:fldChar w:fldCharType="begin"/>
      </w:r>
      <w:r w:rsidRPr="005C6D34">
        <w:rPr>
          <w:rFonts w:cstheme="minorHAnsi"/>
          <w:sz w:val="24"/>
          <w:szCs w:val="24"/>
        </w:rPr>
        <w:instrText xml:space="preserve"> SEQ Figure \* ARABIC </w:instrText>
      </w:r>
      <w:r w:rsidRPr="005C6D34">
        <w:rPr>
          <w:rFonts w:cstheme="minorHAnsi"/>
          <w:sz w:val="24"/>
          <w:szCs w:val="24"/>
        </w:rPr>
        <w:fldChar w:fldCharType="separate"/>
      </w:r>
      <w:r w:rsidR="006A524F" w:rsidRPr="005C6D34">
        <w:rPr>
          <w:rFonts w:cstheme="minorHAnsi"/>
          <w:noProof/>
          <w:sz w:val="24"/>
          <w:szCs w:val="24"/>
        </w:rPr>
        <w:t>2</w:t>
      </w:r>
      <w:r w:rsidRPr="005C6D34">
        <w:rPr>
          <w:rFonts w:cstheme="minorHAnsi"/>
          <w:noProof/>
          <w:sz w:val="24"/>
          <w:szCs w:val="24"/>
        </w:rPr>
        <w:fldChar w:fldCharType="end"/>
      </w:r>
      <w:r w:rsidRPr="005C6D34">
        <w:rPr>
          <w:rFonts w:cstheme="minorHAnsi"/>
          <w:sz w:val="24"/>
          <w:szCs w:val="24"/>
        </w:rPr>
        <w:t xml:space="preserve"> Unemployment Rate</w:t>
      </w:r>
      <w:r w:rsidR="00EF6240" w:rsidRPr="005C6D34">
        <w:rPr>
          <w:rFonts w:cstheme="minorHAnsi"/>
          <w:sz w:val="24"/>
          <w:szCs w:val="24"/>
        </w:rPr>
        <w:t>s</w:t>
      </w:r>
      <w:r w:rsidRPr="005C6D34">
        <w:rPr>
          <w:rFonts w:cstheme="minorHAnsi"/>
          <w:sz w:val="24"/>
          <w:szCs w:val="24"/>
        </w:rPr>
        <w:t xml:space="preserve"> </w:t>
      </w:r>
      <w:r w:rsidR="00EF6240" w:rsidRPr="005C6D34">
        <w:rPr>
          <w:rFonts w:cstheme="minorHAnsi"/>
          <w:sz w:val="24"/>
          <w:szCs w:val="24"/>
        </w:rPr>
        <w:t>a</w:t>
      </w:r>
      <w:r w:rsidRPr="005C6D34">
        <w:rPr>
          <w:rFonts w:cstheme="minorHAnsi"/>
          <w:sz w:val="24"/>
          <w:szCs w:val="24"/>
        </w:rPr>
        <w:t>cross Age Group</w:t>
      </w:r>
      <w:r w:rsidR="00EF6240" w:rsidRPr="005C6D34">
        <w:rPr>
          <w:rFonts w:cstheme="minorHAnsi"/>
          <w:sz w:val="24"/>
          <w:szCs w:val="24"/>
        </w:rPr>
        <w:t>s</w:t>
      </w:r>
    </w:p>
    <w:p w14:paraId="28E82139" w14:textId="687F991F" w:rsidR="007518CB" w:rsidRPr="005C6D34" w:rsidRDefault="007518CB" w:rsidP="000A687F">
      <w:pPr>
        <w:spacing w:line="360" w:lineRule="auto"/>
        <w:jc w:val="both"/>
        <w:rPr>
          <w:rFonts w:cstheme="minorHAnsi"/>
          <w:sz w:val="24"/>
          <w:szCs w:val="24"/>
        </w:rPr>
      </w:pPr>
      <w:r w:rsidRPr="005C6D34">
        <w:rPr>
          <w:rFonts w:cstheme="minorHAnsi"/>
          <w:sz w:val="24"/>
          <w:szCs w:val="24"/>
        </w:rPr>
        <w:t xml:space="preserve">Table </w:t>
      </w:r>
      <w:r w:rsidR="006A524F" w:rsidRPr="005C6D34">
        <w:rPr>
          <w:rFonts w:cstheme="minorHAnsi"/>
          <w:sz w:val="24"/>
          <w:szCs w:val="24"/>
        </w:rPr>
        <w:t>2</w:t>
      </w:r>
      <w:r w:rsidRPr="005C6D34">
        <w:rPr>
          <w:rFonts w:cstheme="minorHAnsi"/>
          <w:sz w:val="24"/>
          <w:szCs w:val="24"/>
        </w:rPr>
        <w:t xml:space="preserve"> shows the share of </w:t>
      </w:r>
      <w:r w:rsidR="00FE6B75" w:rsidRPr="005C6D34">
        <w:rPr>
          <w:rFonts w:cstheme="minorHAnsi"/>
          <w:sz w:val="24"/>
          <w:szCs w:val="24"/>
        </w:rPr>
        <w:t xml:space="preserve">the </w:t>
      </w:r>
      <w:r w:rsidRPr="005C6D34">
        <w:rPr>
          <w:rFonts w:cstheme="minorHAnsi"/>
          <w:sz w:val="24"/>
          <w:szCs w:val="24"/>
        </w:rPr>
        <w:t xml:space="preserve">population </w:t>
      </w:r>
      <w:r w:rsidR="006E5BA2" w:rsidRPr="005C6D34">
        <w:rPr>
          <w:rFonts w:cstheme="minorHAnsi"/>
          <w:sz w:val="24"/>
          <w:szCs w:val="24"/>
        </w:rPr>
        <w:t>(</w:t>
      </w:r>
      <w:r w:rsidRPr="005C6D34">
        <w:rPr>
          <w:rFonts w:cstheme="minorHAnsi"/>
          <w:sz w:val="24"/>
          <w:szCs w:val="24"/>
        </w:rPr>
        <w:t>based on age group</w:t>
      </w:r>
      <w:r w:rsidR="006E5BA2" w:rsidRPr="005C6D34">
        <w:rPr>
          <w:rFonts w:cstheme="minorHAnsi"/>
          <w:sz w:val="24"/>
          <w:szCs w:val="24"/>
        </w:rPr>
        <w:t xml:space="preserve">s) </w:t>
      </w:r>
      <w:r w:rsidRPr="005C6D34">
        <w:rPr>
          <w:rFonts w:cstheme="minorHAnsi"/>
          <w:sz w:val="24"/>
          <w:szCs w:val="24"/>
        </w:rPr>
        <w:t>who are legally eligible to vote</w:t>
      </w:r>
      <w:r w:rsidR="006E5BA2" w:rsidRPr="005C6D34">
        <w:rPr>
          <w:rFonts w:cstheme="minorHAnsi"/>
          <w:sz w:val="24"/>
          <w:szCs w:val="24"/>
        </w:rPr>
        <w:t xml:space="preserve"> – those who are aged</w:t>
      </w:r>
      <w:r w:rsidRPr="005C6D34">
        <w:rPr>
          <w:rFonts w:cstheme="minorHAnsi"/>
          <w:sz w:val="24"/>
          <w:szCs w:val="24"/>
        </w:rPr>
        <w:t xml:space="preserve"> 18 </w:t>
      </w:r>
      <w:r w:rsidR="00274FED" w:rsidRPr="005C6D34">
        <w:rPr>
          <w:rFonts w:cstheme="minorHAnsi"/>
          <w:sz w:val="24"/>
          <w:szCs w:val="24"/>
        </w:rPr>
        <w:t>and</w:t>
      </w:r>
      <w:r w:rsidRPr="005C6D34">
        <w:rPr>
          <w:rFonts w:cstheme="minorHAnsi"/>
          <w:sz w:val="24"/>
          <w:szCs w:val="24"/>
        </w:rPr>
        <w:t xml:space="preserve"> above. Th</w:t>
      </w:r>
      <w:r w:rsidR="006E5BA2" w:rsidRPr="005C6D34">
        <w:rPr>
          <w:rFonts w:cstheme="minorHAnsi"/>
          <w:sz w:val="24"/>
          <w:szCs w:val="24"/>
        </w:rPr>
        <w:t>is</w:t>
      </w:r>
      <w:r w:rsidRPr="005C6D34">
        <w:rPr>
          <w:rFonts w:cstheme="minorHAnsi"/>
          <w:sz w:val="24"/>
          <w:szCs w:val="24"/>
        </w:rPr>
        <w:t xml:space="preserve"> </w:t>
      </w:r>
      <w:r w:rsidR="006E5BA2" w:rsidRPr="005C6D34">
        <w:rPr>
          <w:rFonts w:cstheme="minorHAnsi"/>
          <w:sz w:val="24"/>
          <w:szCs w:val="24"/>
        </w:rPr>
        <w:t>data was</w:t>
      </w:r>
      <w:r w:rsidRPr="005C6D34">
        <w:rPr>
          <w:rFonts w:cstheme="minorHAnsi"/>
          <w:sz w:val="24"/>
          <w:szCs w:val="24"/>
        </w:rPr>
        <w:t xml:space="preserve"> taken from </w:t>
      </w:r>
      <w:r w:rsidR="006E5BA2" w:rsidRPr="005C6D34">
        <w:rPr>
          <w:rFonts w:cstheme="minorHAnsi"/>
          <w:sz w:val="24"/>
          <w:szCs w:val="24"/>
        </w:rPr>
        <w:t xml:space="preserve">the record of the </w:t>
      </w:r>
      <w:r w:rsidRPr="005C6D34">
        <w:rPr>
          <w:rFonts w:cstheme="minorHAnsi"/>
          <w:sz w:val="24"/>
          <w:szCs w:val="24"/>
        </w:rPr>
        <w:t xml:space="preserve">2019 registered voters </w:t>
      </w:r>
      <w:r w:rsidR="00274FED" w:rsidRPr="005C6D34">
        <w:rPr>
          <w:rFonts w:cstheme="minorHAnsi"/>
          <w:sz w:val="24"/>
          <w:szCs w:val="24"/>
        </w:rPr>
        <w:t>and</w:t>
      </w:r>
      <w:r w:rsidRPr="005C6D34">
        <w:rPr>
          <w:rFonts w:cstheme="minorHAnsi"/>
          <w:sz w:val="24"/>
          <w:szCs w:val="24"/>
        </w:rPr>
        <w:t xml:space="preserve"> added to </w:t>
      </w:r>
      <w:r w:rsidR="006E5BA2" w:rsidRPr="005C6D34">
        <w:rPr>
          <w:rFonts w:cstheme="minorHAnsi"/>
          <w:sz w:val="24"/>
          <w:szCs w:val="24"/>
        </w:rPr>
        <w:t xml:space="preserve">the list of </w:t>
      </w:r>
      <w:r w:rsidRPr="005C6D34">
        <w:rPr>
          <w:rFonts w:cstheme="minorHAnsi"/>
          <w:sz w:val="24"/>
          <w:szCs w:val="24"/>
        </w:rPr>
        <w:t>new</w:t>
      </w:r>
      <w:r w:rsidR="00FE6B75" w:rsidRPr="005C6D34">
        <w:rPr>
          <w:rFonts w:cstheme="minorHAnsi"/>
          <w:sz w:val="24"/>
          <w:szCs w:val="24"/>
        </w:rPr>
        <w:t>ly</w:t>
      </w:r>
      <w:r w:rsidRPr="005C6D34">
        <w:rPr>
          <w:rFonts w:cstheme="minorHAnsi"/>
          <w:sz w:val="24"/>
          <w:szCs w:val="24"/>
        </w:rPr>
        <w:t xml:space="preserve"> registered voters for the 2023 elections. The share of eligible voters</w:t>
      </w:r>
      <w:r w:rsidR="006E5BA2" w:rsidRPr="005C6D34">
        <w:rPr>
          <w:rFonts w:cstheme="minorHAnsi"/>
          <w:sz w:val="24"/>
          <w:szCs w:val="24"/>
        </w:rPr>
        <w:t>,</w:t>
      </w:r>
      <w:r w:rsidRPr="005C6D34">
        <w:rPr>
          <w:rFonts w:cstheme="minorHAnsi"/>
          <w:sz w:val="24"/>
          <w:szCs w:val="24"/>
        </w:rPr>
        <w:t xml:space="preserve"> based on Nigeria</w:t>
      </w:r>
      <w:r w:rsidR="00A03141" w:rsidRPr="005C6D34">
        <w:rPr>
          <w:rFonts w:cstheme="minorHAnsi"/>
          <w:sz w:val="24"/>
          <w:szCs w:val="24"/>
        </w:rPr>
        <w:t>’</w:t>
      </w:r>
      <w:r w:rsidRPr="005C6D34">
        <w:rPr>
          <w:rFonts w:cstheme="minorHAnsi"/>
          <w:sz w:val="24"/>
          <w:szCs w:val="24"/>
        </w:rPr>
        <w:t>s population</w:t>
      </w:r>
      <w:r w:rsidR="006E5BA2" w:rsidRPr="005C6D34">
        <w:rPr>
          <w:rFonts w:cstheme="minorHAnsi"/>
          <w:sz w:val="24"/>
          <w:szCs w:val="24"/>
        </w:rPr>
        <w:t>,</w:t>
      </w:r>
      <w:r w:rsidRPr="005C6D34">
        <w:rPr>
          <w:rFonts w:cstheme="minorHAnsi"/>
          <w:sz w:val="24"/>
          <w:szCs w:val="24"/>
        </w:rPr>
        <w:t xml:space="preserve"> is 50.3%. </w:t>
      </w:r>
      <w:r w:rsidR="006E5BA2" w:rsidRPr="005C6D34">
        <w:rPr>
          <w:rFonts w:cstheme="minorHAnsi"/>
          <w:sz w:val="24"/>
          <w:szCs w:val="24"/>
        </w:rPr>
        <w:t>R</w:t>
      </w:r>
      <w:r w:rsidRPr="005C6D34">
        <w:rPr>
          <w:rFonts w:cstheme="minorHAnsi"/>
          <w:sz w:val="24"/>
          <w:szCs w:val="24"/>
        </w:rPr>
        <w:t xml:space="preserve">egistered voters account for 43.8% of the population </w:t>
      </w:r>
      <w:r w:rsidR="00087427" w:rsidRPr="005C6D34">
        <w:rPr>
          <w:rFonts w:cstheme="minorHAnsi"/>
          <w:sz w:val="24"/>
          <w:szCs w:val="24"/>
        </w:rPr>
        <w:t>&amp;</w:t>
      </w:r>
      <w:r w:rsidRPr="005C6D34">
        <w:rPr>
          <w:rFonts w:cstheme="minorHAnsi"/>
          <w:sz w:val="24"/>
          <w:szCs w:val="24"/>
        </w:rPr>
        <w:t xml:space="preserve"> 87% of th</w:t>
      </w:r>
      <w:r w:rsidR="006E5BA2" w:rsidRPr="005C6D34">
        <w:rPr>
          <w:rFonts w:cstheme="minorHAnsi"/>
          <w:sz w:val="24"/>
          <w:szCs w:val="24"/>
        </w:rPr>
        <w:t>ose</w:t>
      </w:r>
      <w:r w:rsidRPr="005C6D34">
        <w:rPr>
          <w:rFonts w:cstheme="minorHAnsi"/>
          <w:sz w:val="24"/>
          <w:szCs w:val="24"/>
        </w:rPr>
        <w:t xml:space="preserve"> eligible </w:t>
      </w:r>
      <w:r w:rsidR="006E5BA2" w:rsidRPr="005C6D34">
        <w:rPr>
          <w:rFonts w:cstheme="minorHAnsi"/>
          <w:sz w:val="24"/>
          <w:szCs w:val="24"/>
        </w:rPr>
        <w:t xml:space="preserve">to </w:t>
      </w:r>
      <w:r w:rsidRPr="005C6D34">
        <w:rPr>
          <w:rFonts w:cstheme="minorHAnsi"/>
          <w:sz w:val="24"/>
          <w:szCs w:val="24"/>
        </w:rPr>
        <w:t>vote</w:t>
      </w:r>
      <w:r w:rsidR="006E5BA2" w:rsidRPr="005C6D34">
        <w:rPr>
          <w:rFonts w:cstheme="minorHAnsi"/>
          <w:sz w:val="24"/>
          <w:szCs w:val="24"/>
        </w:rPr>
        <w:t xml:space="preserve"> in the</w:t>
      </w:r>
      <w:r w:rsidRPr="005C6D34">
        <w:rPr>
          <w:rFonts w:cstheme="minorHAnsi"/>
          <w:sz w:val="24"/>
          <w:szCs w:val="24"/>
        </w:rPr>
        <w:t xml:space="preserve"> 2023 elections. </w:t>
      </w:r>
    </w:p>
    <w:p w14:paraId="4D0FA5A4" w14:textId="5998BF92" w:rsidR="00C310DB" w:rsidRPr="005C6D34" w:rsidRDefault="00C310DB" w:rsidP="000A687F">
      <w:pPr>
        <w:spacing w:line="360" w:lineRule="auto"/>
        <w:jc w:val="center"/>
        <w:rPr>
          <w:rFonts w:cstheme="minorHAnsi"/>
          <w:sz w:val="24"/>
          <w:szCs w:val="24"/>
        </w:rPr>
      </w:pPr>
      <w:r w:rsidRPr="005C6D34">
        <w:rPr>
          <w:rFonts w:cstheme="minorHAnsi"/>
          <w:sz w:val="24"/>
          <w:szCs w:val="24"/>
        </w:rPr>
        <w:lastRenderedPageBreak/>
        <w:t>Insert Table 2 here</w:t>
      </w:r>
    </w:p>
    <w:p w14:paraId="3D800921" w14:textId="143E5AB6" w:rsidR="007518CB" w:rsidRPr="005C6D34" w:rsidRDefault="006E5BA2" w:rsidP="000A687F">
      <w:pPr>
        <w:spacing w:line="360" w:lineRule="auto"/>
        <w:jc w:val="both"/>
        <w:rPr>
          <w:rFonts w:cstheme="minorHAnsi"/>
          <w:sz w:val="24"/>
          <w:szCs w:val="24"/>
        </w:rPr>
      </w:pPr>
      <w:r w:rsidRPr="005C6D34">
        <w:rPr>
          <w:rFonts w:cstheme="minorHAnsi"/>
          <w:sz w:val="24"/>
          <w:szCs w:val="24"/>
        </w:rPr>
        <w:t>Those aged</w:t>
      </w:r>
      <w:r w:rsidR="007518CB" w:rsidRPr="005C6D34">
        <w:rPr>
          <w:rFonts w:cstheme="minorHAnsi"/>
          <w:sz w:val="24"/>
          <w:szCs w:val="24"/>
        </w:rPr>
        <w:t xml:space="preserve"> 18</w:t>
      </w:r>
      <w:r w:rsidRPr="005C6D34">
        <w:rPr>
          <w:rFonts w:cstheme="minorHAnsi"/>
          <w:sz w:val="24"/>
          <w:szCs w:val="24"/>
        </w:rPr>
        <w:t>–</w:t>
      </w:r>
      <w:r w:rsidR="007518CB" w:rsidRPr="005C6D34">
        <w:rPr>
          <w:rFonts w:cstheme="minorHAnsi"/>
          <w:sz w:val="24"/>
          <w:szCs w:val="24"/>
        </w:rPr>
        <w:t>39 account for 23.5</w:t>
      </w:r>
      <w:r w:rsidRPr="005C6D34">
        <w:rPr>
          <w:rFonts w:cstheme="minorHAnsi"/>
          <w:sz w:val="24"/>
          <w:szCs w:val="24"/>
        </w:rPr>
        <w:t>%</w:t>
      </w:r>
      <w:r w:rsidR="007518CB" w:rsidRPr="005C6D34">
        <w:rPr>
          <w:rFonts w:cstheme="minorHAnsi"/>
          <w:sz w:val="24"/>
          <w:szCs w:val="24"/>
        </w:rPr>
        <w:t xml:space="preserve"> of Nigeria</w:t>
      </w:r>
      <w:r w:rsidR="00A03141" w:rsidRPr="005C6D34">
        <w:rPr>
          <w:rFonts w:cstheme="minorHAnsi"/>
          <w:sz w:val="24"/>
          <w:szCs w:val="24"/>
        </w:rPr>
        <w:t>’</w:t>
      </w:r>
      <w:r w:rsidR="007518CB" w:rsidRPr="005C6D34">
        <w:rPr>
          <w:rFonts w:cstheme="minorHAnsi"/>
          <w:sz w:val="24"/>
          <w:szCs w:val="24"/>
        </w:rPr>
        <w:t xml:space="preserve">s population </w:t>
      </w:r>
      <w:r w:rsidR="00274FED" w:rsidRPr="005C6D34">
        <w:rPr>
          <w:rFonts w:cstheme="minorHAnsi"/>
          <w:sz w:val="24"/>
          <w:szCs w:val="24"/>
        </w:rPr>
        <w:t>and</w:t>
      </w:r>
      <w:r w:rsidR="007518CB" w:rsidRPr="005C6D34">
        <w:rPr>
          <w:rFonts w:cstheme="minorHAnsi"/>
          <w:sz w:val="24"/>
          <w:szCs w:val="24"/>
        </w:rPr>
        <w:t xml:space="preserve"> 46.8% of th</w:t>
      </w:r>
      <w:r w:rsidRPr="005C6D34">
        <w:rPr>
          <w:rFonts w:cstheme="minorHAnsi"/>
          <w:sz w:val="24"/>
          <w:szCs w:val="24"/>
        </w:rPr>
        <w:t>ose</w:t>
      </w:r>
      <w:r w:rsidR="007518CB" w:rsidRPr="005C6D34">
        <w:rPr>
          <w:rFonts w:cstheme="minorHAnsi"/>
          <w:sz w:val="24"/>
          <w:szCs w:val="24"/>
        </w:rPr>
        <w:t xml:space="preserve"> eligible </w:t>
      </w:r>
      <w:r w:rsidRPr="005C6D34">
        <w:rPr>
          <w:rFonts w:cstheme="minorHAnsi"/>
          <w:sz w:val="24"/>
          <w:szCs w:val="24"/>
        </w:rPr>
        <w:t xml:space="preserve">to </w:t>
      </w:r>
      <w:r w:rsidR="007518CB" w:rsidRPr="005C6D34">
        <w:rPr>
          <w:rFonts w:cstheme="minorHAnsi"/>
          <w:sz w:val="24"/>
          <w:szCs w:val="24"/>
        </w:rPr>
        <w:t xml:space="preserve">vote. The total share of this group </w:t>
      </w:r>
      <w:r w:rsidR="00FE6B75" w:rsidRPr="005C6D34">
        <w:rPr>
          <w:rFonts w:cstheme="minorHAnsi"/>
          <w:sz w:val="24"/>
          <w:szCs w:val="24"/>
        </w:rPr>
        <w:t>of</w:t>
      </w:r>
      <w:r w:rsidR="007518CB" w:rsidRPr="005C6D34">
        <w:rPr>
          <w:rFonts w:cstheme="minorHAnsi"/>
          <w:sz w:val="24"/>
          <w:szCs w:val="24"/>
        </w:rPr>
        <w:t xml:space="preserve"> registered voters for the 2023 elections is 53.7%. </w:t>
      </w:r>
      <w:r w:rsidR="007518CB" w:rsidRPr="005C6D34">
        <w:rPr>
          <w:rFonts w:eastAsia="Times New Roman" w:cstheme="minorHAnsi"/>
          <w:color w:val="000000"/>
          <w:sz w:val="24"/>
          <w:szCs w:val="24"/>
          <w:lang w:eastAsia="en-GB"/>
        </w:rPr>
        <w:t xml:space="preserve">This group of voters are also part of the unemployed group </w:t>
      </w:r>
      <w:r w:rsidR="00274FED" w:rsidRPr="005C6D34">
        <w:rPr>
          <w:rFonts w:eastAsia="Times New Roman" w:cstheme="minorHAnsi"/>
          <w:color w:val="000000"/>
          <w:sz w:val="24"/>
          <w:szCs w:val="24"/>
          <w:lang w:eastAsia="en-GB"/>
        </w:rPr>
        <w:t>and</w:t>
      </w:r>
      <w:r w:rsidR="007518CB" w:rsidRPr="005C6D34">
        <w:rPr>
          <w:rFonts w:eastAsia="Times New Roman" w:cstheme="minorHAnsi"/>
          <w:color w:val="000000"/>
          <w:sz w:val="24"/>
          <w:szCs w:val="24"/>
          <w:lang w:eastAsia="en-GB"/>
        </w:rPr>
        <w:t xml:space="preserve"> the </w:t>
      </w:r>
      <w:r w:rsidR="00C310DB" w:rsidRPr="005C6D34">
        <w:rPr>
          <w:rFonts w:eastAsia="Times New Roman" w:cstheme="minorHAnsi"/>
          <w:color w:val="000000"/>
          <w:sz w:val="24"/>
          <w:szCs w:val="24"/>
          <w:lang w:eastAsia="en-GB"/>
        </w:rPr>
        <w:t xml:space="preserve">most active </w:t>
      </w:r>
      <w:r w:rsidR="007518CB" w:rsidRPr="005C6D34">
        <w:rPr>
          <w:rFonts w:eastAsia="Times New Roman" w:cstheme="minorHAnsi"/>
          <w:color w:val="000000"/>
          <w:sz w:val="24"/>
          <w:szCs w:val="24"/>
          <w:lang w:eastAsia="en-GB"/>
        </w:rPr>
        <w:t xml:space="preserve">social media users in Nigeria. </w:t>
      </w:r>
      <w:r w:rsidRPr="005C6D34">
        <w:rPr>
          <w:rFonts w:eastAsia="Times New Roman" w:cstheme="minorHAnsi"/>
          <w:color w:val="000000"/>
          <w:sz w:val="24"/>
          <w:szCs w:val="24"/>
          <w:lang w:eastAsia="en-GB"/>
        </w:rPr>
        <w:t>The</w:t>
      </w:r>
      <w:r w:rsidR="000C7197" w:rsidRPr="005C6D34">
        <w:rPr>
          <w:rFonts w:eastAsia="Times New Roman" w:cstheme="minorHAnsi"/>
          <w:color w:val="000000"/>
          <w:sz w:val="24"/>
          <w:szCs w:val="24"/>
          <w:lang w:eastAsia="en-GB"/>
        </w:rPr>
        <w:t xml:space="preserve"> </w:t>
      </w:r>
      <w:r w:rsidR="00C310DB" w:rsidRPr="005C6D34">
        <w:rPr>
          <w:rFonts w:cstheme="minorHAnsi"/>
          <w:sz w:val="24"/>
          <w:szCs w:val="24"/>
        </w:rPr>
        <w:t>INEC</w:t>
      </w:r>
      <w:r w:rsidR="00DE7839" w:rsidRPr="005C6D34">
        <w:rPr>
          <w:rFonts w:cstheme="minorHAnsi"/>
          <w:sz w:val="24"/>
          <w:szCs w:val="24"/>
        </w:rPr>
        <w:t xml:space="preserve"> </w:t>
      </w:r>
      <w:r w:rsidR="00682581" w:rsidRPr="005C6D34">
        <w:rPr>
          <w:rFonts w:cstheme="minorHAnsi"/>
          <w:sz w:val="24"/>
          <w:szCs w:val="24"/>
        </w:rPr>
        <w:t xml:space="preserve">Report </w:t>
      </w:r>
      <w:r w:rsidR="00C310DB" w:rsidRPr="005C6D34">
        <w:rPr>
          <w:rFonts w:cstheme="minorHAnsi"/>
          <w:sz w:val="24"/>
          <w:szCs w:val="24"/>
        </w:rPr>
        <w:t xml:space="preserve">(2019) showed </w:t>
      </w:r>
      <w:r w:rsidR="00C9691B" w:rsidRPr="005C6D34">
        <w:rPr>
          <w:rFonts w:cstheme="minorHAnsi"/>
          <w:sz w:val="24"/>
          <w:szCs w:val="24"/>
        </w:rPr>
        <w:t>y</w:t>
      </w:r>
      <w:r w:rsidR="00C9691B" w:rsidRPr="005C6D34">
        <w:rPr>
          <w:rFonts w:eastAsia="Georgia" w:cstheme="minorHAnsi"/>
          <w:sz w:val="24"/>
          <w:szCs w:val="24"/>
        </w:rPr>
        <w:t>oung people aged 18</w:t>
      </w:r>
      <w:r w:rsidR="00407AF2" w:rsidRPr="005C6D34">
        <w:rPr>
          <w:rFonts w:eastAsia="Georgia" w:cstheme="minorHAnsi"/>
          <w:sz w:val="24"/>
          <w:szCs w:val="24"/>
        </w:rPr>
        <w:t>–</w:t>
      </w:r>
      <w:r w:rsidR="00C9691B" w:rsidRPr="005C6D34">
        <w:rPr>
          <w:rFonts w:eastAsia="Georgia" w:cstheme="minorHAnsi"/>
          <w:sz w:val="24"/>
          <w:szCs w:val="24"/>
        </w:rPr>
        <w:t>35 constituted over 51% of the registered voters</w:t>
      </w:r>
      <w:r w:rsidRPr="005C6D34">
        <w:rPr>
          <w:rFonts w:eastAsia="Georgia" w:cstheme="minorHAnsi"/>
          <w:sz w:val="24"/>
          <w:szCs w:val="24"/>
        </w:rPr>
        <w:t>. It also noted that those in this age group were</w:t>
      </w:r>
      <w:r w:rsidR="00682581" w:rsidRPr="005C6D34">
        <w:rPr>
          <w:rFonts w:cstheme="minorHAnsi"/>
          <w:sz w:val="24"/>
          <w:szCs w:val="24"/>
        </w:rPr>
        <w:t xml:space="preserve"> </w:t>
      </w:r>
      <w:r w:rsidRPr="005C6D34">
        <w:rPr>
          <w:rFonts w:cstheme="minorHAnsi"/>
          <w:sz w:val="24"/>
          <w:szCs w:val="24"/>
        </w:rPr>
        <w:t xml:space="preserve">some </w:t>
      </w:r>
      <w:r w:rsidR="00682581" w:rsidRPr="005C6D34">
        <w:rPr>
          <w:rFonts w:cstheme="minorHAnsi"/>
          <w:sz w:val="24"/>
          <w:szCs w:val="24"/>
        </w:rPr>
        <w:t>of the country</w:t>
      </w:r>
      <w:r w:rsidR="00A03141" w:rsidRPr="005C6D34">
        <w:rPr>
          <w:rFonts w:cstheme="minorHAnsi"/>
          <w:sz w:val="24"/>
          <w:szCs w:val="24"/>
        </w:rPr>
        <w:t>’</w:t>
      </w:r>
      <w:r w:rsidR="00682581" w:rsidRPr="005C6D34">
        <w:rPr>
          <w:rFonts w:cstheme="minorHAnsi"/>
          <w:sz w:val="24"/>
          <w:szCs w:val="24"/>
        </w:rPr>
        <w:t xml:space="preserve">s </w:t>
      </w:r>
      <w:r w:rsidRPr="005C6D34">
        <w:rPr>
          <w:rFonts w:cstheme="minorHAnsi"/>
          <w:sz w:val="24"/>
          <w:szCs w:val="24"/>
        </w:rPr>
        <w:t xml:space="preserve">most </w:t>
      </w:r>
      <w:r w:rsidR="00682581" w:rsidRPr="005C6D34">
        <w:rPr>
          <w:rFonts w:cstheme="minorHAnsi"/>
          <w:sz w:val="24"/>
          <w:szCs w:val="24"/>
        </w:rPr>
        <w:t>disenfranchised voters</w:t>
      </w:r>
      <w:r w:rsidR="00C310DB" w:rsidRPr="005C6D34">
        <w:rPr>
          <w:rFonts w:cstheme="minorHAnsi"/>
          <w:sz w:val="24"/>
          <w:szCs w:val="24"/>
        </w:rPr>
        <w:t xml:space="preserve">. </w:t>
      </w:r>
      <w:r w:rsidRPr="005C6D34">
        <w:rPr>
          <w:rFonts w:cstheme="minorHAnsi"/>
          <w:sz w:val="24"/>
          <w:szCs w:val="24"/>
        </w:rPr>
        <w:t xml:space="preserve">In Nigeria in 2022, there are 36,880,400 </w:t>
      </w:r>
      <w:r w:rsidR="007518CB" w:rsidRPr="005C6D34">
        <w:rPr>
          <w:rFonts w:cstheme="minorHAnsi"/>
          <w:sz w:val="24"/>
          <w:szCs w:val="24"/>
        </w:rPr>
        <w:t>Facebook users</w:t>
      </w:r>
      <w:r w:rsidRPr="005C6D34">
        <w:rPr>
          <w:rFonts w:cstheme="minorHAnsi"/>
          <w:sz w:val="24"/>
          <w:szCs w:val="24"/>
        </w:rPr>
        <w:t xml:space="preserve">, </w:t>
      </w:r>
      <w:r w:rsidR="007518CB" w:rsidRPr="005C6D34">
        <w:rPr>
          <w:rFonts w:cstheme="minorHAnsi"/>
          <w:sz w:val="24"/>
          <w:szCs w:val="24"/>
        </w:rPr>
        <w:t>29,933,600 Messenger users</w:t>
      </w:r>
      <w:r w:rsidRPr="005C6D34">
        <w:rPr>
          <w:rFonts w:cstheme="minorHAnsi"/>
          <w:sz w:val="24"/>
          <w:szCs w:val="24"/>
        </w:rPr>
        <w:t xml:space="preserve"> </w:t>
      </w:r>
      <w:r w:rsidR="00087427" w:rsidRPr="005C6D34">
        <w:rPr>
          <w:rFonts w:cstheme="minorHAnsi"/>
          <w:sz w:val="24"/>
          <w:szCs w:val="24"/>
        </w:rPr>
        <w:t>&amp;</w:t>
      </w:r>
      <w:r w:rsidRPr="005C6D34">
        <w:rPr>
          <w:rFonts w:cstheme="minorHAnsi"/>
          <w:sz w:val="24"/>
          <w:szCs w:val="24"/>
        </w:rPr>
        <w:t xml:space="preserve"> </w:t>
      </w:r>
      <w:r w:rsidR="007518CB" w:rsidRPr="005C6D34">
        <w:rPr>
          <w:rFonts w:cstheme="minorHAnsi"/>
          <w:sz w:val="24"/>
          <w:szCs w:val="24"/>
        </w:rPr>
        <w:t>10,053,700</w:t>
      </w:r>
      <w:r w:rsidRPr="005C6D34">
        <w:rPr>
          <w:rFonts w:cstheme="minorHAnsi"/>
          <w:sz w:val="24"/>
          <w:szCs w:val="24"/>
        </w:rPr>
        <w:t xml:space="preserve"> Instagram users</w:t>
      </w:r>
      <w:r w:rsidR="007518CB" w:rsidRPr="005C6D34">
        <w:rPr>
          <w:rFonts w:cstheme="minorHAnsi"/>
          <w:sz w:val="24"/>
          <w:szCs w:val="24"/>
        </w:rPr>
        <w:t xml:space="preserve">. </w:t>
      </w:r>
      <w:r w:rsidRPr="005C6D34">
        <w:rPr>
          <w:rFonts w:cstheme="minorHAnsi"/>
          <w:sz w:val="24"/>
          <w:szCs w:val="24"/>
        </w:rPr>
        <w:t xml:space="preserve">Those </w:t>
      </w:r>
      <w:r w:rsidR="007518CB" w:rsidRPr="005C6D34">
        <w:rPr>
          <w:rFonts w:cstheme="minorHAnsi"/>
          <w:sz w:val="24"/>
          <w:szCs w:val="24"/>
        </w:rPr>
        <w:t>aged 25</w:t>
      </w:r>
      <w:r w:rsidRPr="005C6D34">
        <w:rPr>
          <w:rFonts w:cstheme="minorHAnsi"/>
          <w:sz w:val="24"/>
          <w:szCs w:val="24"/>
        </w:rPr>
        <w:t>–</w:t>
      </w:r>
      <w:r w:rsidR="007518CB" w:rsidRPr="005C6D34">
        <w:rPr>
          <w:rFonts w:cstheme="minorHAnsi"/>
          <w:sz w:val="24"/>
          <w:szCs w:val="24"/>
        </w:rPr>
        <w:t xml:space="preserve">34 </w:t>
      </w:r>
      <w:r w:rsidRPr="005C6D34">
        <w:rPr>
          <w:rFonts w:cstheme="minorHAnsi"/>
          <w:sz w:val="24"/>
          <w:szCs w:val="24"/>
        </w:rPr>
        <w:t xml:space="preserve">constituted </w:t>
      </w:r>
      <w:r w:rsidR="007518CB" w:rsidRPr="005C6D34">
        <w:rPr>
          <w:rFonts w:cstheme="minorHAnsi"/>
          <w:sz w:val="24"/>
          <w:szCs w:val="24"/>
        </w:rPr>
        <w:t>the largest user group.</w:t>
      </w:r>
    </w:p>
    <w:p w14:paraId="0670374D" w14:textId="167E4445" w:rsidR="007518CB" w:rsidRPr="005C6D34" w:rsidRDefault="007518CB" w:rsidP="000A687F">
      <w:pPr>
        <w:keepNext/>
        <w:spacing w:line="360" w:lineRule="auto"/>
        <w:jc w:val="center"/>
        <w:rPr>
          <w:rFonts w:cstheme="minorHAnsi"/>
          <w:sz w:val="24"/>
          <w:szCs w:val="24"/>
        </w:rPr>
      </w:pPr>
      <w:r w:rsidRPr="005C6D34">
        <w:rPr>
          <w:rFonts w:cstheme="minorHAnsi"/>
          <w:noProof/>
          <w:sz w:val="24"/>
          <w:szCs w:val="24"/>
          <w:lang w:val="en-US"/>
        </w:rPr>
        <w:drawing>
          <wp:inline distT="0" distB="0" distL="0" distR="0" wp14:anchorId="3D7B17FA" wp14:editId="4B51A6F1">
            <wp:extent cx="4587240" cy="2758440"/>
            <wp:effectExtent l="0" t="0" r="3810" b="3810"/>
            <wp:docPr id="17" name="Chart 17">
              <a:extLst xmlns:a="http://schemas.openxmlformats.org/drawingml/2006/main">
                <a:ext uri="{FF2B5EF4-FFF2-40B4-BE49-F238E27FC236}">
                  <a16:creationId xmlns:a16="http://schemas.microsoft.com/office/drawing/2014/main" id="{B816FE6D-E817-408E-A334-73252CB167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06438A" w14:textId="2DE3DB3C" w:rsidR="007518CB" w:rsidRPr="005C6D34" w:rsidRDefault="007518CB" w:rsidP="000A687F">
      <w:pPr>
        <w:pStyle w:val="Caption"/>
        <w:spacing w:line="360" w:lineRule="auto"/>
        <w:jc w:val="center"/>
        <w:rPr>
          <w:rFonts w:cstheme="minorHAnsi"/>
          <w:sz w:val="24"/>
          <w:szCs w:val="24"/>
        </w:rPr>
      </w:pPr>
      <w:r w:rsidRPr="005C6D34">
        <w:rPr>
          <w:rFonts w:cstheme="minorHAnsi"/>
          <w:sz w:val="24"/>
          <w:szCs w:val="24"/>
        </w:rPr>
        <w:t xml:space="preserve">Figure </w:t>
      </w:r>
      <w:r w:rsidRPr="005C6D34">
        <w:rPr>
          <w:rFonts w:cstheme="minorHAnsi"/>
          <w:sz w:val="24"/>
          <w:szCs w:val="24"/>
        </w:rPr>
        <w:fldChar w:fldCharType="begin"/>
      </w:r>
      <w:r w:rsidRPr="005C6D34">
        <w:rPr>
          <w:rFonts w:cstheme="minorHAnsi"/>
          <w:sz w:val="24"/>
          <w:szCs w:val="24"/>
        </w:rPr>
        <w:instrText xml:space="preserve"> SEQ Figure \* ARABIC </w:instrText>
      </w:r>
      <w:r w:rsidRPr="005C6D34">
        <w:rPr>
          <w:rFonts w:cstheme="minorHAnsi"/>
          <w:sz w:val="24"/>
          <w:szCs w:val="24"/>
        </w:rPr>
        <w:fldChar w:fldCharType="separate"/>
      </w:r>
      <w:r w:rsidR="006A524F" w:rsidRPr="005C6D34">
        <w:rPr>
          <w:rFonts w:cstheme="minorHAnsi"/>
          <w:noProof/>
          <w:sz w:val="24"/>
          <w:szCs w:val="24"/>
        </w:rPr>
        <w:t>3</w:t>
      </w:r>
      <w:r w:rsidRPr="005C6D34">
        <w:rPr>
          <w:rFonts w:cstheme="minorHAnsi"/>
          <w:sz w:val="24"/>
          <w:szCs w:val="24"/>
        </w:rPr>
        <w:fldChar w:fldCharType="end"/>
      </w:r>
      <w:r w:rsidR="00343D5E" w:rsidRPr="005C6D34">
        <w:rPr>
          <w:rFonts w:cstheme="minorHAnsi"/>
          <w:sz w:val="24"/>
          <w:szCs w:val="24"/>
        </w:rPr>
        <w:t xml:space="preserve">: Share of the </w:t>
      </w:r>
      <w:r w:rsidR="006E5BA2" w:rsidRPr="005C6D34">
        <w:rPr>
          <w:rFonts w:cstheme="minorHAnsi"/>
          <w:sz w:val="24"/>
          <w:szCs w:val="24"/>
        </w:rPr>
        <w:t>P</w:t>
      </w:r>
      <w:r w:rsidR="00343D5E" w:rsidRPr="005C6D34">
        <w:rPr>
          <w:rFonts w:cstheme="minorHAnsi"/>
          <w:sz w:val="24"/>
          <w:szCs w:val="24"/>
        </w:rPr>
        <w:t xml:space="preserve">opulation </w:t>
      </w:r>
      <w:r w:rsidR="00274FED" w:rsidRPr="005C6D34">
        <w:rPr>
          <w:rFonts w:cstheme="minorHAnsi"/>
          <w:sz w:val="24"/>
          <w:szCs w:val="24"/>
        </w:rPr>
        <w:t>and</w:t>
      </w:r>
      <w:r w:rsidR="006E5BA2" w:rsidRPr="005C6D34">
        <w:rPr>
          <w:rFonts w:cstheme="minorHAnsi"/>
          <w:sz w:val="24"/>
          <w:szCs w:val="24"/>
        </w:rPr>
        <w:t xml:space="preserve"> the Number of</w:t>
      </w:r>
      <w:r w:rsidR="00343D5E" w:rsidRPr="005C6D34">
        <w:rPr>
          <w:rFonts w:cstheme="minorHAnsi"/>
          <w:sz w:val="24"/>
          <w:szCs w:val="24"/>
        </w:rPr>
        <w:t xml:space="preserve"> </w:t>
      </w:r>
      <w:r w:rsidR="006E5BA2" w:rsidRPr="005C6D34">
        <w:rPr>
          <w:rFonts w:cstheme="minorHAnsi"/>
          <w:sz w:val="24"/>
          <w:szCs w:val="24"/>
        </w:rPr>
        <w:t>S</w:t>
      </w:r>
      <w:r w:rsidR="00343D5E" w:rsidRPr="005C6D34">
        <w:rPr>
          <w:rFonts w:cstheme="minorHAnsi"/>
          <w:sz w:val="24"/>
          <w:szCs w:val="24"/>
        </w:rPr>
        <w:t xml:space="preserve">ocial </w:t>
      </w:r>
      <w:r w:rsidR="006E5BA2" w:rsidRPr="005C6D34">
        <w:rPr>
          <w:rFonts w:cstheme="minorHAnsi"/>
          <w:sz w:val="24"/>
          <w:szCs w:val="24"/>
        </w:rPr>
        <w:t>M</w:t>
      </w:r>
      <w:r w:rsidR="00343D5E" w:rsidRPr="005C6D34">
        <w:rPr>
          <w:rFonts w:cstheme="minorHAnsi"/>
          <w:sz w:val="24"/>
          <w:szCs w:val="24"/>
        </w:rPr>
        <w:t xml:space="preserve">edia </w:t>
      </w:r>
      <w:r w:rsidR="006E5BA2" w:rsidRPr="005C6D34">
        <w:rPr>
          <w:rFonts w:cstheme="minorHAnsi"/>
          <w:sz w:val="24"/>
          <w:szCs w:val="24"/>
        </w:rPr>
        <w:t>U</w:t>
      </w:r>
      <w:r w:rsidR="00343D5E" w:rsidRPr="005C6D34">
        <w:rPr>
          <w:rFonts w:cstheme="minorHAnsi"/>
          <w:sz w:val="24"/>
          <w:szCs w:val="24"/>
        </w:rPr>
        <w:t xml:space="preserve">sers </w:t>
      </w:r>
      <w:r w:rsidR="00274FED" w:rsidRPr="005C6D34">
        <w:rPr>
          <w:rFonts w:cstheme="minorHAnsi"/>
          <w:sz w:val="24"/>
          <w:szCs w:val="24"/>
        </w:rPr>
        <w:t>w</w:t>
      </w:r>
      <w:r w:rsidR="00343D5E" w:rsidRPr="005C6D34">
        <w:rPr>
          <w:rFonts w:cstheme="minorHAnsi"/>
          <w:sz w:val="24"/>
          <w:szCs w:val="24"/>
        </w:rPr>
        <w:t xml:space="preserve">ithin the </w:t>
      </w:r>
      <w:r w:rsidR="006E5BA2" w:rsidRPr="005C6D34">
        <w:rPr>
          <w:rFonts w:cstheme="minorHAnsi"/>
          <w:sz w:val="24"/>
          <w:szCs w:val="24"/>
        </w:rPr>
        <w:t>A</w:t>
      </w:r>
      <w:r w:rsidR="00343D5E" w:rsidRPr="005C6D34">
        <w:rPr>
          <w:rFonts w:cstheme="minorHAnsi"/>
          <w:sz w:val="24"/>
          <w:szCs w:val="24"/>
        </w:rPr>
        <w:t xml:space="preserve">ge </w:t>
      </w:r>
      <w:r w:rsidR="006E5BA2" w:rsidRPr="005C6D34">
        <w:rPr>
          <w:rFonts w:cstheme="minorHAnsi"/>
          <w:sz w:val="24"/>
          <w:szCs w:val="24"/>
        </w:rPr>
        <w:t>D</w:t>
      </w:r>
      <w:r w:rsidR="00343D5E" w:rsidRPr="005C6D34">
        <w:rPr>
          <w:rFonts w:cstheme="minorHAnsi"/>
          <w:sz w:val="24"/>
          <w:szCs w:val="24"/>
        </w:rPr>
        <w:t>emography</w:t>
      </w:r>
    </w:p>
    <w:p w14:paraId="7D59D24E" w14:textId="337EA734" w:rsidR="007518CB" w:rsidRPr="005C6D34" w:rsidRDefault="007518CB" w:rsidP="000A687F">
      <w:pPr>
        <w:spacing w:line="360" w:lineRule="auto"/>
        <w:jc w:val="both"/>
        <w:rPr>
          <w:rFonts w:cstheme="minorHAnsi"/>
          <w:sz w:val="24"/>
          <w:szCs w:val="24"/>
        </w:rPr>
      </w:pPr>
      <w:r w:rsidRPr="005C6D34">
        <w:rPr>
          <w:rFonts w:cstheme="minorHAnsi"/>
          <w:sz w:val="24"/>
          <w:szCs w:val="24"/>
        </w:rPr>
        <w:t xml:space="preserve">Figure </w:t>
      </w:r>
      <w:r w:rsidR="006A524F" w:rsidRPr="005C6D34">
        <w:rPr>
          <w:rFonts w:cstheme="minorHAnsi"/>
          <w:sz w:val="24"/>
          <w:szCs w:val="24"/>
        </w:rPr>
        <w:t>3</w:t>
      </w:r>
      <w:r w:rsidRPr="005C6D34">
        <w:rPr>
          <w:rFonts w:cstheme="minorHAnsi"/>
          <w:sz w:val="24"/>
          <w:szCs w:val="24"/>
        </w:rPr>
        <w:t xml:space="preserve"> shows the share of the population </w:t>
      </w:r>
      <w:r w:rsidR="00274FED" w:rsidRPr="005C6D34">
        <w:rPr>
          <w:rFonts w:cstheme="minorHAnsi"/>
          <w:sz w:val="24"/>
          <w:szCs w:val="24"/>
        </w:rPr>
        <w:t>and</w:t>
      </w:r>
      <w:r w:rsidRPr="005C6D34">
        <w:rPr>
          <w:rFonts w:cstheme="minorHAnsi"/>
          <w:sz w:val="24"/>
          <w:szCs w:val="24"/>
        </w:rPr>
        <w:t xml:space="preserve"> </w:t>
      </w:r>
      <w:r w:rsidR="006E5BA2" w:rsidRPr="005C6D34">
        <w:rPr>
          <w:rFonts w:cstheme="minorHAnsi"/>
          <w:sz w:val="24"/>
          <w:szCs w:val="24"/>
        </w:rPr>
        <w:t xml:space="preserve">the number of </w:t>
      </w:r>
      <w:r w:rsidRPr="005C6D34">
        <w:rPr>
          <w:rFonts w:cstheme="minorHAnsi"/>
          <w:sz w:val="24"/>
          <w:szCs w:val="24"/>
        </w:rPr>
        <w:t>social media users within the age demography. The age demography of the population shows that 38.4% are children between 0</w:t>
      </w:r>
      <w:r w:rsidR="00407AF2" w:rsidRPr="005C6D34">
        <w:rPr>
          <w:rFonts w:cstheme="minorHAnsi"/>
          <w:sz w:val="24"/>
          <w:szCs w:val="24"/>
        </w:rPr>
        <w:t>–</w:t>
      </w:r>
      <w:r w:rsidRPr="005C6D34">
        <w:rPr>
          <w:rFonts w:cstheme="minorHAnsi"/>
          <w:sz w:val="24"/>
          <w:szCs w:val="24"/>
        </w:rPr>
        <w:t xml:space="preserve">13 years old </w:t>
      </w:r>
      <w:r w:rsidR="00274FED" w:rsidRPr="005C6D34">
        <w:rPr>
          <w:rFonts w:cstheme="minorHAnsi"/>
          <w:sz w:val="24"/>
          <w:szCs w:val="24"/>
        </w:rPr>
        <w:t xml:space="preserve">who </w:t>
      </w:r>
      <w:r w:rsidRPr="005C6D34">
        <w:rPr>
          <w:rFonts w:cstheme="minorHAnsi"/>
          <w:sz w:val="24"/>
          <w:szCs w:val="24"/>
        </w:rPr>
        <w:t>do not use social media. The median age of the population in Nigeria is 18.</w:t>
      </w:r>
      <w:r w:rsidR="006E5BA2" w:rsidRPr="005C6D34">
        <w:rPr>
          <w:rFonts w:cstheme="minorHAnsi"/>
          <w:sz w:val="24"/>
          <w:szCs w:val="24"/>
        </w:rPr>
        <w:t>2</w:t>
      </w:r>
      <w:r w:rsidRPr="005C6D34">
        <w:rPr>
          <w:rFonts w:cstheme="minorHAnsi"/>
          <w:sz w:val="24"/>
          <w:szCs w:val="24"/>
        </w:rPr>
        <w:t xml:space="preserve">. </w:t>
      </w:r>
    </w:p>
    <w:p w14:paraId="643D92CE" w14:textId="77777777" w:rsidR="00972E2F" w:rsidRPr="005C6D34" w:rsidRDefault="00972E2F" w:rsidP="00972E2F">
      <w:pPr>
        <w:spacing w:line="360" w:lineRule="auto"/>
        <w:jc w:val="both"/>
        <w:rPr>
          <w:rFonts w:cstheme="minorHAnsi"/>
          <w:sz w:val="24"/>
          <w:szCs w:val="24"/>
        </w:rPr>
      </w:pPr>
      <w:r w:rsidRPr="005C6D34">
        <w:rPr>
          <w:rFonts w:cstheme="minorHAnsi"/>
          <w:sz w:val="24"/>
          <w:szCs w:val="24"/>
        </w:rPr>
        <w:t xml:space="preserve">Religion is a factor that is used in Nigeria to polarise voters. The issue of religion is used to mobilise voters, and the sub–national government also uses religion whenever there is a need </w:t>
      </w:r>
      <w:r w:rsidRPr="005C6D34">
        <w:rPr>
          <w:rFonts w:cstheme="minorHAnsi"/>
          <w:sz w:val="24"/>
          <w:szCs w:val="24"/>
        </w:rPr>
        <w:lastRenderedPageBreak/>
        <w:t>to mobilise the electorate. The voter registration exercise has used civil society organisations and religious bodies to mobilise voters to register, and the buildings of religious organisations are used as venues to attract voter registration (NAN, 2022).</w:t>
      </w:r>
    </w:p>
    <w:p w14:paraId="2935C706" w14:textId="77777777" w:rsidR="00972E2F" w:rsidRPr="005C6D34" w:rsidRDefault="00972E2F" w:rsidP="00972E2F">
      <w:pPr>
        <w:keepNext/>
        <w:spacing w:after="0" w:line="360" w:lineRule="auto"/>
        <w:jc w:val="center"/>
        <w:rPr>
          <w:rFonts w:cstheme="minorHAnsi"/>
          <w:sz w:val="24"/>
          <w:szCs w:val="24"/>
        </w:rPr>
      </w:pPr>
      <w:r w:rsidRPr="005C6D34">
        <w:rPr>
          <w:rFonts w:cstheme="minorHAnsi"/>
          <w:noProof/>
          <w:sz w:val="24"/>
          <w:szCs w:val="24"/>
          <w:lang w:val="en-US"/>
        </w:rPr>
        <w:drawing>
          <wp:inline distT="0" distB="0" distL="0" distR="0" wp14:anchorId="5458C06F" wp14:editId="6BDB3A70">
            <wp:extent cx="4587240" cy="2026920"/>
            <wp:effectExtent l="0" t="0" r="3810" b="11430"/>
            <wp:docPr id="7" name="Chart 7">
              <a:extLst xmlns:a="http://schemas.openxmlformats.org/drawingml/2006/main">
                <a:ext uri="{FF2B5EF4-FFF2-40B4-BE49-F238E27FC236}">
                  <a16:creationId xmlns:a16="http://schemas.microsoft.com/office/drawing/2014/main" id="{468B4EDE-28BD-415C-8D79-ADD0BC9F2B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F20F106" w14:textId="77777777" w:rsidR="00972E2F" w:rsidRPr="005C6D34" w:rsidRDefault="00972E2F" w:rsidP="00972E2F">
      <w:pPr>
        <w:pStyle w:val="Caption"/>
        <w:spacing w:line="360" w:lineRule="auto"/>
        <w:jc w:val="center"/>
        <w:rPr>
          <w:rFonts w:cstheme="minorHAnsi"/>
          <w:sz w:val="24"/>
          <w:szCs w:val="24"/>
        </w:rPr>
      </w:pPr>
      <w:r w:rsidRPr="005C6D34">
        <w:rPr>
          <w:rFonts w:cstheme="minorHAnsi"/>
          <w:sz w:val="24"/>
          <w:szCs w:val="24"/>
        </w:rPr>
        <w:t xml:space="preserve">Figure </w:t>
      </w:r>
      <w:r w:rsidRPr="005C6D34">
        <w:rPr>
          <w:rFonts w:cstheme="minorHAnsi"/>
          <w:sz w:val="24"/>
          <w:szCs w:val="24"/>
        </w:rPr>
        <w:fldChar w:fldCharType="begin"/>
      </w:r>
      <w:r w:rsidRPr="005C6D34">
        <w:rPr>
          <w:rFonts w:cstheme="minorHAnsi"/>
          <w:sz w:val="24"/>
          <w:szCs w:val="24"/>
        </w:rPr>
        <w:instrText xml:space="preserve"> SEQ Figure \* ARABIC </w:instrText>
      </w:r>
      <w:r w:rsidRPr="005C6D34">
        <w:rPr>
          <w:rFonts w:cstheme="minorHAnsi"/>
          <w:sz w:val="24"/>
          <w:szCs w:val="24"/>
        </w:rPr>
        <w:fldChar w:fldCharType="separate"/>
      </w:r>
      <w:r w:rsidRPr="005C6D34">
        <w:rPr>
          <w:rFonts w:cstheme="minorHAnsi"/>
          <w:noProof/>
          <w:sz w:val="24"/>
          <w:szCs w:val="24"/>
        </w:rPr>
        <w:t>4</w:t>
      </w:r>
      <w:r w:rsidRPr="005C6D34">
        <w:rPr>
          <w:rFonts w:cstheme="minorHAnsi"/>
          <w:sz w:val="24"/>
          <w:szCs w:val="24"/>
        </w:rPr>
        <w:fldChar w:fldCharType="end"/>
      </w:r>
      <w:r w:rsidRPr="005C6D34">
        <w:rPr>
          <w:rFonts w:cstheme="minorHAnsi"/>
          <w:sz w:val="24"/>
          <w:szCs w:val="24"/>
        </w:rPr>
        <w:t xml:space="preserve"> Religion by Population Across the Geo-political Zones, based on </w:t>
      </w:r>
      <w:proofErr w:type="spellStart"/>
      <w:r w:rsidRPr="005C6D34">
        <w:rPr>
          <w:rFonts w:cstheme="minorHAnsi"/>
          <w:sz w:val="24"/>
          <w:szCs w:val="24"/>
        </w:rPr>
        <w:t>Ostien</w:t>
      </w:r>
      <w:proofErr w:type="spellEnd"/>
      <w:r w:rsidRPr="005C6D34">
        <w:rPr>
          <w:rFonts w:cstheme="minorHAnsi"/>
          <w:sz w:val="24"/>
          <w:szCs w:val="24"/>
        </w:rPr>
        <w:t xml:space="preserve"> (2012)</w:t>
      </w:r>
    </w:p>
    <w:p w14:paraId="7DCB1D5C" w14:textId="77777777" w:rsidR="00972E2F" w:rsidRPr="005C6D34" w:rsidRDefault="00972E2F" w:rsidP="00972E2F">
      <w:pPr>
        <w:spacing w:line="360" w:lineRule="auto"/>
        <w:jc w:val="both"/>
        <w:rPr>
          <w:rFonts w:cstheme="minorHAnsi"/>
          <w:sz w:val="24"/>
          <w:szCs w:val="24"/>
        </w:rPr>
      </w:pPr>
      <w:r w:rsidRPr="005C6D34">
        <w:rPr>
          <w:rFonts w:cstheme="minorHAnsi"/>
          <w:sz w:val="24"/>
          <w:szCs w:val="24"/>
        </w:rPr>
        <w:t xml:space="preserve">Figure 4 shows the distribution of religious affiliation across Nigeria. The distribution follows the assumption of </w:t>
      </w:r>
      <w:proofErr w:type="spellStart"/>
      <w:r w:rsidRPr="005C6D34">
        <w:rPr>
          <w:rFonts w:cstheme="minorHAnsi"/>
          <w:sz w:val="24"/>
          <w:szCs w:val="24"/>
        </w:rPr>
        <w:t>Ostien</w:t>
      </w:r>
      <w:proofErr w:type="spellEnd"/>
      <w:r w:rsidRPr="005C6D34">
        <w:rPr>
          <w:rFonts w:cstheme="minorHAnsi"/>
          <w:sz w:val="24"/>
          <w:szCs w:val="24"/>
        </w:rPr>
        <w:t xml:space="preserve"> (2012), and we follow Burr, et al (2015) that religion was intergenerational. </w:t>
      </w:r>
    </w:p>
    <w:p w14:paraId="74325CBD" w14:textId="77777777" w:rsidR="00972E2F" w:rsidRPr="005C6D34" w:rsidRDefault="00972E2F" w:rsidP="00972E2F">
      <w:pPr>
        <w:spacing w:line="360" w:lineRule="auto"/>
        <w:jc w:val="both"/>
        <w:rPr>
          <w:rFonts w:cstheme="minorHAnsi"/>
          <w:sz w:val="24"/>
          <w:szCs w:val="24"/>
        </w:rPr>
      </w:pPr>
      <w:r w:rsidRPr="005C6D34">
        <w:rPr>
          <w:rFonts w:cstheme="minorHAnsi"/>
          <w:sz w:val="24"/>
          <w:szCs w:val="24"/>
        </w:rPr>
        <w:t xml:space="preserve">The NC and the SW geo-political zones have a religious population of Christians and Muslims above 40%, which means one of the major religions will find it hard to dominate if religious polarisation is considered. The other geo-political zones have one major religion and one minor religion. Religious leaders have mobilised voter registration across the country (Fred, 2022) and are expected to influence voting behaviour in the 2023 elections. </w:t>
      </w:r>
    </w:p>
    <w:p w14:paraId="4B1CA47D" w14:textId="77777777" w:rsidR="00972E2F" w:rsidRPr="005C6D34" w:rsidRDefault="00972E2F" w:rsidP="00972E2F">
      <w:pPr>
        <w:keepNext/>
        <w:spacing w:after="0" w:line="360" w:lineRule="auto"/>
        <w:jc w:val="center"/>
        <w:rPr>
          <w:rFonts w:cstheme="minorHAnsi"/>
          <w:sz w:val="24"/>
          <w:szCs w:val="24"/>
        </w:rPr>
      </w:pPr>
      <w:r w:rsidRPr="005C6D34">
        <w:rPr>
          <w:rFonts w:cstheme="minorHAnsi"/>
          <w:noProof/>
          <w:sz w:val="24"/>
          <w:szCs w:val="24"/>
          <w:lang w:val="en-US"/>
        </w:rPr>
        <w:drawing>
          <wp:inline distT="0" distB="0" distL="0" distR="0" wp14:anchorId="545DCBE7" wp14:editId="2D644871">
            <wp:extent cx="4587240" cy="1821180"/>
            <wp:effectExtent l="0" t="0" r="3810" b="7620"/>
            <wp:docPr id="4" name="Chart 4">
              <a:extLst xmlns:a="http://schemas.openxmlformats.org/drawingml/2006/main">
                <a:ext uri="{FF2B5EF4-FFF2-40B4-BE49-F238E27FC236}">
                  <a16:creationId xmlns:a16="http://schemas.microsoft.com/office/drawing/2014/main" id="{ACD7CD6B-500B-4D9C-8B6E-EE0BD40B4D2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4DF238E" w14:textId="77777777" w:rsidR="00972E2F" w:rsidRPr="005C6D34" w:rsidRDefault="00972E2F" w:rsidP="00972E2F">
      <w:pPr>
        <w:pStyle w:val="Caption"/>
        <w:spacing w:line="360" w:lineRule="auto"/>
        <w:jc w:val="center"/>
        <w:rPr>
          <w:rFonts w:cstheme="minorHAnsi"/>
          <w:sz w:val="24"/>
          <w:szCs w:val="24"/>
        </w:rPr>
      </w:pPr>
      <w:r w:rsidRPr="005C6D34">
        <w:rPr>
          <w:rFonts w:cstheme="minorHAnsi"/>
          <w:sz w:val="24"/>
          <w:szCs w:val="24"/>
        </w:rPr>
        <w:t xml:space="preserve">Figure </w:t>
      </w:r>
      <w:r w:rsidRPr="005C6D34">
        <w:rPr>
          <w:rFonts w:cstheme="minorHAnsi"/>
          <w:sz w:val="24"/>
          <w:szCs w:val="24"/>
        </w:rPr>
        <w:fldChar w:fldCharType="begin"/>
      </w:r>
      <w:r w:rsidRPr="005C6D34">
        <w:rPr>
          <w:rFonts w:cstheme="minorHAnsi"/>
          <w:sz w:val="24"/>
          <w:szCs w:val="24"/>
        </w:rPr>
        <w:instrText xml:space="preserve"> SEQ Figure \* ARABIC </w:instrText>
      </w:r>
      <w:r w:rsidRPr="005C6D34">
        <w:rPr>
          <w:rFonts w:cstheme="minorHAnsi"/>
          <w:sz w:val="24"/>
          <w:szCs w:val="24"/>
        </w:rPr>
        <w:fldChar w:fldCharType="separate"/>
      </w:r>
      <w:r w:rsidRPr="005C6D34">
        <w:rPr>
          <w:rFonts w:cstheme="minorHAnsi"/>
          <w:noProof/>
          <w:sz w:val="24"/>
          <w:szCs w:val="24"/>
        </w:rPr>
        <w:t>5</w:t>
      </w:r>
      <w:r w:rsidRPr="005C6D34">
        <w:rPr>
          <w:rFonts w:cstheme="minorHAnsi"/>
          <w:sz w:val="24"/>
          <w:szCs w:val="24"/>
        </w:rPr>
        <w:fldChar w:fldCharType="end"/>
      </w:r>
      <w:r w:rsidRPr="005C6D34">
        <w:rPr>
          <w:rFonts w:cstheme="minorHAnsi"/>
          <w:sz w:val="24"/>
          <w:szCs w:val="24"/>
        </w:rPr>
        <w:t xml:space="preserve"> Share of Religion by Registered Voters</w:t>
      </w:r>
    </w:p>
    <w:p w14:paraId="1CE13E33" w14:textId="1F63D7C1" w:rsidR="00972E2F" w:rsidRPr="005C6D34" w:rsidRDefault="00972E2F" w:rsidP="00972E2F">
      <w:pPr>
        <w:spacing w:line="360" w:lineRule="auto"/>
        <w:jc w:val="both"/>
        <w:rPr>
          <w:rFonts w:cstheme="minorHAnsi"/>
          <w:sz w:val="24"/>
          <w:szCs w:val="24"/>
        </w:rPr>
      </w:pPr>
      <w:r w:rsidRPr="005C6D34">
        <w:rPr>
          <w:rFonts w:cstheme="minorHAnsi"/>
          <w:sz w:val="24"/>
          <w:szCs w:val="24"/>
        </w:rPr>
        <w:lastRenderedPageBreak/>
        <w:t>Table 5 shows the share of religion by registered voters in Nigeria. We derived the data by applying the sampling weight in the dataset to compute the reported registered voters’ statistics. We assumed that voter disenfranchisement was minimised, and the percentage of religion by population was replicated for voter registration in every geo-political zone without any form of voter suppression. Given its population and registered voters share, the NW has the highest percentage of Muslim registered voters, and the SE has the lowest number of  Muslim registered voters. The SS has the highest number of Christian registered voters, and the NW records the lowest number of Christian registered voters.</w:t>
      </w:r>
    </w:p>
    <w:p w14:paraId="247ACC25" w14:textId="05DAFBED" w:rsidR="00972E2F" w:rsidRPr="005C6D34" w:rsidRDefault="00921869" w:rsidP="00921869">
      <w:pPr>
        <w:pStyle w:val="ListParagraph"/>
        <w:numPr>
          <w:ilvl w:val="2"/>
          <w:numId w:val="5"/>
        </w:numPr>
        <w:spacing w:after="0" w:line="360" w:lineRule="auto"/>
        <w:jc w:val="both"/>
        <w:rPr>
          <w:rFonts w:cstheme="minorHAnsi"/>
          <w:b/>
          <w:bCs/>
          <w:sz w:val="24"/>
          <w:szCs w:val="24"/>
        </w:rPr>
      </w:pPr>
      <w:r w:rsidRPr="005C6D34">
        <w:rPr>
          <w:rFonts w:cstheme="minorHAnsi"/>
          <w:b/>
          <w:bCs/>
          <w:sz w:val="24"/>
          <w:szCs w:val="24"/>
        </w:rPr>
        <w:t xml:space="preserve">Pearson Correlation </w:t>
      </w:r>
    </w:p>
    <w:p w14:paraId="1F6A1F35" w14:textId="4D28776F" w:rsidR="00EE66D3" w:rsidRPr="005C6D34" w:rsidRDefault="00110A71" w:rsidP="000A687F">
      <w:pPr>
        <w:spacing w:line="360" w:lineRule="auto"/>
        <w:jc w:val="both"/>
        <w:rPr>
          <w:rFonts w:cstheme="minorHAnsi"/>
          <w:sz w:val="24"/>
          <w:szCs w:val="24"/>
        </w:rPr>
      </w:pPr>
      <w:r w:rsidRPr="005C6D34">
        <w:rPr>
          <w:rFonts w:cstheme="minorHAnsi"/>
          <w:sz w:val="24"/>
          <w:szCs w:val="24"/>
        </w:rPr>
        <w:t xml:space="preserve">We use the Pearson correlation </w:t>
      </w:r>
      <w:r w:rsidR="00EF5C77" w:rsidRPr="005C6D34">
        <w:rPr>
          <w:rFonts w:cstheme="minorHAnsi"/>
          <w:sz w:val="24"/>
          <w:szCs w:val="24"/>
        </w:rPr>
        <w:t>to</w:t>
      </w:r>
      <w:r w:rsidR="00E1053B" w:rsidRPr="005C6D34">
        <w:rPr>
          <w:rFonts w:cstheme="minorHAnsi"/>
          <w:sz w:val="24"/>
          <w:szCs w:val="24"/>
        </w:rPr>
        <w:t xml:space="preserve"> measure the linear relationships between our key variables.</w:t>
      </w:r>
      <w:r w:rsidR="00F37035" w:rsidRPr="005C6D34">
        <w:rPr>
          <w:rFonts w:cstheme="minorHAnsi"/>
          <w:sz w:val="24"/>
          <w:szCs w:val="24"/>
        </w:rPr>
        <w:t xml:space="preserve"> Table 3 shows the </w:t>
      </w:r>
      <w:r w:rsidR="00EF71D6" w:rsidRPr="005C6D34">
        <w:rPr>
          <w:rFonts w:cstheme="minorHAnsi"/>
          <w:sz w:val="24"/>
          <w:szCs w:val="24"/>
        </w:rPr>
        <w:t xml:space="preserve">Pearson correlation and the p-value in </w:t>
      </w:r>
      <w:r w:rsidR="00C307E5" w:rsidRPr="005C6D34">
        <w:rPr>
          <w:rFonts w:cstheme="minorHAnsi"/>
          <w:sz w:val="24"/>
          <w:szCs w:val="24"/>
        </w:rPr>
        <w:t xml:space="preserve">parenthesis. </w:t>
      </w:r>
      <w:r w:rsidRPr="005C6D34">
        <w:rPr>
          <w:rFonts w:cstheme="minorHAnsi"/>
          <w:sz w:val="24"/>
          <w:szCs w:val="24"/>
        </w:rPr>
        <w:t xml:space="preserve"> </w:t>
      </w:r>
    </w:p>
    <w:p w14:paraId="074D8BEF" w14:textId="291CA70A" w:rsidR="007518CB" w:rsidRPr="005C6D34" w:rsidRDefault="00C310DB" w:rsidP="000A687F">
      <w:pPr>
        <w:spacing w:line="360" w:lineRule="auto"/>
        <w:jc w:val="center"/>
        <w:rPr>
          <w:rFonts w:cstheme="minorHAnsi"/>
          <w:noProof/>
          <w:sz w:val="24"/>
          <w:szCs w:val="24"/>
        </w:rPr>
      </w:pPr>
      <w:r w:rsidRPr="005C6D34">
        <w:rPr>
          <w:rFonts w:cstheme="minorHAnsi"/>
          <w:noProof/>
          <w:sz w:val="24"/>
          <w:szCs w:val="24"/>
        </w:rPr>
        <w:t>Insert Table 3 here</w:t>
      </w:r>
    </w:p>
    <w:p w14:paraId="4B40F317" w14:textId="12699C33" w:rsidR="00C307E5" w:rsidRPr="005C6D34" w:rsidRDefault="004A10C8" w:rsidP="00906F6E">
      <w:pPr>
        <w:spacing w:line="360" w:lineRule="auto"/>
        <w:jc w:val="both"/>
        <w:rPr>
          <w:rFonts w:cstheme="minorHAnsi"/>
          <w:noProof/>
          <w:sz w:val="24"/>
          <w:szCs w:val="24"/>
        </w:rPr>
      </w:pPr>
      <w:r w:rsidRPr="005C6D34">
        <w:rPr>
          <w:rFonts w:cstheme="minorHAnsi"/>
          <w:noProof/>
          <w:sz w:val="24"/>
          <w:szCs w:val="24"/>
        </w:rPr>
        <w:t xml:space="preserve">In measuring the relationship between </w:t>
      </w:r>
      <w:r w:rsidR="00C920D3" w:rsidRPr="005C6D34">
        <w:rPr>
          <w:rFonts w:cstheme="minorHAnsi"/>
          <w:noProof/>
          <w:sz w:val="24"/>
          <w:szCs w:val="24"/>
        </w:rPr>
        <w:t xml:space="preserve">variables, </w:t>
      </w:r>
      <w:r w:rsidR="00BB35FF" w:rsidRPr="005C6D34">
        <w:rPr>
          <w:rFonts w:cstheme="minorHAnsi"/>
          <w:noProof/>
          <w:sz w:val="24"/>
          <w:szCs w:val="24"/>
        </w:rPr>
        <w:t xml:space="preserve">we find </w:t>
      </w:r>
      <w:r w:rsidR="00187AB3" w:rsidRPr="005C6D34">
        <w:rPr>
          <w:rFonts w:cstheme="minorHAnsi"/>
          <w:noProof/>
          <w:sz w:val="24"/>
          <w:szCs w:val="24"/>
        </w:rPr>
        <w:t xml:space="preserve">no significant </w:t>
      </w:r>
      <w:r w:rsidR="005971AA" w:rsidRPr="005C6D34">
        <w:rPr>
          <w:rFonts w:cstheme="minorHAnsi"/>
          <w:noProof/>
          <w:sz w:val="24"/>
          <w:szCs w:val="24"/>
        </w:rPr>
        <w:t xml:space="preserve">correlation </w:t>
      </w:r>
      <w:r w:rsidR="008E0A4D" w:rsidRPr="005C6D34">
        <w:rPr>
          <w:rFonts w:cstheme="minorHAnsi"/>
          <w:noProof/>
          <w:sz w:val="24"/>
          <w:szCs w:val="24"/>
        </w:rPr>
        <w:t>between</w:t>
      </w:r>
      <w:r w:rsidR="005971AA" w:rsidRPr="005C6D34">
        <w:rPr>
          <w:rFonts w:cstheme="minorHAnsi"/>
          <w:noProof/>
          <w:sz w:val="24"/>
          <w:szCs w:val="24"/>
        </w:rPr>
        <w:t xml:space="preserve"> </w:t>
      </w:r>
      <w:r w:rsidR="00473C7E" w:rsidRPr="005C6D34">
        <w:rPr>
          <w:rFonts w:cstheme="minorHAnsi"/>
          <w:noProof/>
          <w:sz w:val="24"/>
          <w:szCs w:val="24"/>
        </w:rPr>
        <w:t xml:space="preserve">registered voters share and the </w:t>
      </w:r>
      <w:r w:rsidR="00CB48ED" w:rsidRPr="005C6D34">
        <w:rPr>
          <w:rFonts w:cstheme="minorHAnsi"/>
          <w:noProof/>
          <w:sz w:val="24"/>
          <w:szCs w:val="24"/>
        </w:rPr>
        <w:t xml:space="preserve">unemployment </w:t>
      </w:r>
      <w:r w:rsidR="00473C7E" w:rsidRPr="005C6D34">
        <w:rPr>
          <w:rFonts w:cstheme="minorHAnsi"/>
          <w:noProof/>
          <w:sz w:val="24"/>
          <w:szCs w:val="24"/>
        </w:rPr>
        <w:t xml:space="preserve">rate </w:t>
      </w:r>
      <w:r w:rsidR="005971AA" w:rsidRPr="005C6D34">
        <w:rPr>
          <w:rFonts w:cstheme="minorHAnsi"/>
          <w:noProof/>
          <w:sz w:val="24"/>
          <w:szCs w:val="24"/>
        </w:rPr>
        <w:t>(</w:t>
      </w:r>
      <m:oMath>
        <m:r>
          <w:rPr>
            <w:rFonts w:ascii="Cambria Math" w:hAnsi="Cambria Math" w:cstheme="minorHAnsi"/>
            <w:noProof/>
            <w:sz w:val="24"/>
            <w:szCs w:val="24"/>
          </w:rPr>
          <m:t>r(36)=0.22, p=0.96</m:t>
        </m:r>
      </m:oMath>
      <w:r w:rsidR="009B6F23" w:rsidRPr="005C6D34">
        <w:rPr>
          <w:rFonts w:cstheme="minorHAnsi"/>
          <w:noProof/>
          <w:sz w:val="24"/>
          <w:szCs w:val="24"/>
        </w:rPr>
        <w:t xml:space="preserve">). </w:t>
      </w:r>
      <w:r w:rsidR="00203AE8" w:rsidRPr="005C6D34">
        <w:rPr>
          <w:rFonts w:cstheme="minorHAnsi"/>
          <w:noProof/>
          <w:sz w:val="24"/>
          <w:szCs w:val="24"/>
        </w:rPr>
        <w:t xml:space="preserve">There </w:t>
      </w:r>
      <w:r w:rsidR="00002CB6" w:rsidRPr="005C6D34">
        <w:rPr>
          <w:rFonts w:cstheme="minorHAnsi"/>
          <w:noProof/>
          <w:sz w:val="24"/>
          <w:szCs w:val="24"/>
        </w:rPr>
        <w:t xml:space="preserve">is a positive correlation </w:t>
      </w:r>
      <w:r w:rsidR="00AD3FE4" w:rsidRPr="005C6D34">
        <w:rPr>
          <w:rFonts w:cstheme="minorHAnsi"/>
          <w:noProof/>
          <w:sz w:val="24"/>
          <w:szCs w:val="24"/>
        </w:rPr>
        <w:t xml:space="preserve">between registered </w:t>
      </w:r>
      <w:r w:rsidR="00060666" w:rsidRPr="005C6D34">
        <w:rPr>
          <w:rFonts w:cstheme="minorHAnsi"/>
          <w:noProof/>
          <w:sz w:val="24"/>
          <w:szCs w:val="24"/>
        </w:rPr>
        <w:t xml:space="preserve">voters share </w:t>
      </w:r>
      <w:r w:rsidR="00AD3FE4" w:rsidRPr="005C6D34">
        <w:rPr>
          <w:rFonts w:cstheme="minorHAnsi"/>
          <w:noProof/>
          <w:sz w:val="24"/>
          <w:szCs w:val="24"/>
        </w:rPr>
        <w:t>and i</w:t>
      </w:r>
      <w:r w:rsidR="00002CB6" w:rsidRPr="005C6D34">
        <w:rPr>
          <w:rFonts w:cstheme="minorHAnsi"/>
          <w:noProof/>
          <w:sz w:val="24"/>
          <w:szCs w:val="24"/>
        </w:rPr>
        <w:t xml:space="preserve">nternet </w:t>
      </w:r>
      <w:r w:rsidR="00A40F72" w:rsidRPr="005C6D34">
        <w:rPr>
          <w:rFonts w:cstheme="minorHAnsi"/>
          <w:noProof/>
          <w:sz w:val="24"/>
          <w:szCs w:val="24"/>
        </w:rPr>
        <w:t>connection</w:t>
      </w:r>
      <w:r w:rsidR="008E0A4D" w:rsidRPr="005C6D34">
        <w:rPr>
          <w:rFonts w:cstheme="minorHAnsi"/>
          <w:noProof/>
          <w:sz w:val="24"/>
          <w:szCs w:val="24"/>
        </w:rPr>
        <w:t xml:space="preserve"> per head</w:t>
      </w:r>
      <w:r w:rsidR="00002CB6" w:rsidRPr="005C6D34">
        <w:rPr>
          <w:rFonts w:cstheme="minorHAnsi"/>
          <w:noProof/>
          <w:sz w:val="24"/>
          <w:szCs w:val="24"/>
        </w:rPr>
        <w:t xml:space="preserve"> </w:t>
      </w:r>
      <w:r w:rsidR="00AD3FE4" w:rsidRPr="005C6D34">
        <w:rPr>
          <w:rFonts w:cstheme="minorHAnsi"/>
          <w:noProof/>
          <w:sz w:val="24"/>
          <w:szCs w:val="24"/>
        </w:rPr>
        <w:t>(</w:t>
      </w:r>
      <m:oMath>
        <m:r>
          <w:rPr>
            <w:rFonts w:ascii="Cambria Math" w:hAnsi="Cambria Math" w:cstheme="minorHAnsi"/>
            <w:noProof/>
            <w:sz w:val="24"/>
            <w:szCs w:val="24"/>
          </w:rPr>
          <m:t>r(26)=0.444, p=0.003</m:t>
        </m:r>
      </m:oMath>
      <w:r w:rsidR="00C920A3" w:rsidRPr="005C6D34">
        <w:rPr>
          <w:rFonts w:cstheme="minorHAnsi"/>
          <w:noProof/>
          <w:sz w:val="24"/>
          <w:szCs w:val="24"/>
        </w:rPr>
        <w:t>)</w:t>
      </w:r>
      <w:r w:rsidR="0025290C" w:rsidRPr="005C6D34">
        <w:rPr>
          <w:rFonts w:cstheme="minorHAnsi"/>
          <w:noProof/>
          <w:sz w:val="24"/>
          <w:szCs w:val="24"/>
        </w:rPr>
        <w:t xml:space="preserve">, which is </w:t>
      </w:r>
      <w:r w:rsidR="00187AB3" w:rsidRPr="005C6D34">
        <w:rPr>
          <w:rFonts w:cstheme="minorHAnsi"/>
          <w:noProof/>
          <w:sz w:val="24"/>
          <w:szCs w:val="24"/>
        </w:rPr>
        <w:t>significantly</w:t>
      </w:r>
      <w:r w:rsidR="0025290C" w:rsidRPr="005C6D34">
        <w:rPr>
          <w:rFonts w:cstheme="minorHAnsi"/>
          <w:noProof/>
          <w:sz w:val="24"/>
          <w:szCs w:val="24"/>
        </w:rPr>
        <w:t xml:space="preserve"> strong. </w:t>
      </w:r>
      <w:r w:rsidR="008E0A4D" w:rsidRPr="005C6D34">
        <w:rPr>
          <w:rFonts w:cstheme="minorHAnsi"/>
          <w:noProof/>
          <w:sz w:val="24"/>
          <w:szCs w:val="24"/>
        </w:rPr>
        <w:t xml:space="preserve">The relationship between share </w:t>
      </w:r>
      <w:r w:rsidR="001B7F20" w:rsidRPr="005C6D34">
        <w:rPr>
          <w:rFonts w:cstheme="minorHAnsi"/>
          <w:noProof/>
          <w:sz w:val="24"/>
          <w:szCs w:val="24"/>
        </w:rPr>
        <w:t>of registered voters and poverty rate at sub-national level is significantly</w:t>
      </w:r>
      <w:r w:rsidR="00187AB3" w:rsidRPr="005C6D34">
        <w:rPr>
          <w:rFonts w:cstheme="minorHAnsi"/>
          <w:noProof/>
          <w:sz w:val="24"/>
          <w:szCs w:val="24"/>
        </w:rPr>
        <w:t xml:space="preserve"> negative</w:t>
      </w:r>
      <w:r w:rsidR="00CC6C63" w:rsidRPr="005C6D34">
        <w:rPr>
          <w:rFonts w:cstheme="minorHAnsi"/>
          <w:noProof/>
          <w:sz w:val="24"/>
          <w:szCs w:val="24"/>
        </w:rPr>
        <w:t xml:space="preserve"> and strong (</w:t>
      </w:r>
      <m:oMath>
        <m:r>
          <w:rPr>
            <w:rFonts w:ascii="Cambria Math" w:hAnsi="Cambria Math" w:cstheme="minorHAnsi"/>
            <w:noProof/>
            <w:sz w:val="24"/>
            <w:szCs w:val="24"/>
          </w:rPr>
          <m:t>r(36)=-0.467, p=0.002</m:t>
        </m:r>
      </m:oMath>
      <w:r w:rsidR="006C5279" w:rsidRPr="005C6D34">
        <w:rPr>
          <w:rFonts w:cstheme="minorHAnsi"/>
          <w:noProof/>
          <w:sz w:val="24"/>
          <w:szCs w:val="24"/>
        </w:rPr>
        <w:t xml:space="preserve">). </w:t>
      </w:r>
      <w:r w:rsidR="00C742FA" w:rsidRPr="005C6D34">
        <w:rPr>
          <w:rFonts w:cstheme="minorHAnsi"/>
          <w:noProof/>
          <w:sz w:val="24"/>
          <w:szCs w:val="24"/>
        </w:rPr>
        <w:t>The result explains why we have lower voter</w:t>
      </w:r>
      <w:r w:rsidR="00575B00" w:rsidRPr="005C6D34">
        <w:rPr>
          <w:rFonts w:cstheme="minorHAnsi"/>
          <w:noProof/>
          <w:sz w:val="24"/>
          <w:szCs w:val="24"/>
        </w:rPr>
        <w:t xml:space="preserve"> registration share in NE and NW</w:t>
      </w:r>
      <w:r w:rsidR="00906F6E" w:rsidRPr="005C6D34">
        <w:rPr>
          <w:rFonts w:cstheme="minorHAnsi"/>
          <w:noProof/>
          <w:sz w:val="24"/>
          <w:szCs w:val="24"/>
        </w:rPr>
        <w:t xml:space="preserve"> due to </w:t>
      </w:r>
      <w:r w:rsidR="003E518A" w:rsidRPr="005C6D34">
        <w:rPr>
          <w:rFonts w:cstheme="minorHAnsi"/>
          <w:noProof/>
          <w:sz w:val="24"/>
          <w:szCs w:val="24"/>
        </w:rPr>
        <w:t xml:space="preserve">the </w:t>
      </w:r>
      <w:r w:rsidRPr="005C6D34">
        <w:rPr>
          <w:rFonts w:cstheme="minorHAnsi"/>
          <w:noProof/>
          <w:sz w:val="24"/>
          <w:szCs w:val="24"/>
        </w:rPr>
        <w:t xml:space="preserve">high poverty level in the two geo-political zones </w:t>
      </w:r>
      <w:r w:rsidR="00906F6E" w:rsidRPr="005C6D34">
        <w:rPr>
          <w:rFonts w:cstheme="minorHAnsi"/>
          <w:noProof/>
          <w:sz w:val="24"/>
          <w:szCs w:val="24"/>
        </w:rPr>
        <w:t>as seen in Figure 1</w:t>
      </w:r>
      <w:r w:rsidR="003E518A" w:rsidRPr="005C6D34">
        <w:rPr>
          <w:rFonts w:cstheme="minorHAnsi"/>
          <w:noProof/>
          <w:sz w:val="24"/>
          <w:szCs w:val="24"/>
        </w:rPr>
        <w:t xml:space="preserve">. There is also a </w:t>
      </w:r>
      <w:r w:rsidR="0001604D" w:rsidRPr="005C6D34">
        <w:rPr>
          <w:rFonts w:cstheme="minorHAnsi"/>
          <w:noProof/>
          <w:sz w:val="24"/>
          <w:szCs w:val="24"/>
        </w:rPr>
        <w:t xml:space="preserve">strong </w:t>
      </w:r>
      <w:r w:rsidR="00576F3A" w:rsidRPr="005C6D34">
        <w:rPr>
          <w:rFonts w:cstheme="minorHAnsi"/>
          <w:noProof/>
          <w:sz w:val="24"/>
          <w:szCs w:val="24"/>
        </w:rPr>
        <w:t xml:space="preserve">significant </w:t>
      </w:r>
      <w:r w:rsidR="0001604D" w:rsidRPr="005C6D34">
        <w:rPr>
          <w:rFonts w:cstheme="minorHAnsi"/>
          <w:noProof/>
          <w:sz w:val="24"/>
          <w:szCs w:val="24"/>
        </w:rPr>
        <w:t xml:space="preserve">negative </w:t>
      </w:r>
      <w:r w:rsidR="00576F3A" w:rsidRPr="005C6D34">
        <w:rPr>
          <w:rFonts w:cstheme="minorHAnsi"/>
          <w:noProof/>
          <w:sz w:val="24"/>
          <w:szCs w:val="24"/>
        </w:rPr>
        <w:t xml:space="preserve">relationship between internet </w:t>
      </w:r>
      <w:r w:rsidR="00A40F72" w:rsidRPr="005C6D34">
        <w:rPr>
          <w:rFonts w:cstheme="minorHAnsi"/>
          <w:noProof/>
          <w:sz w:val="24"/>
          <w:szCs w:val="24"/>
        </w:rPr>
        <w:t>connection</w:t>
      </w:r>
      <w:r w:rsidR="00576F3A" w:rsidRPr="005C6D34">
        <w:rPr>
          <w:rFonts w:cstheme="minorHAnsi"/>
          <w:noProof/>
          <w:sz w:val="24"/>
          <w:szCs w:val="24"/>
        </w:rPr>
        <w:t xml:space="preserve"> and </w:t>
      </w:r>
      <w:r w:rsidR="0001604D" w:rsidRPr="005C6D34">
        <w:rPr>
          <w:rFonts w:cstheme="minorHAnsi"/>
          <w:noProof/>
          <w:sz w:val="24"/>
          <w:szCs w:val="24"/>
        </w:rPr>
        <w:t>poverty level at the sub-national level (</w:t>
      </w:r>
      <m:oMath>
        <m:r>
          <w:rPr>
            <w:rFonts w:ascii="Cambria Math" w:hAnsi="Cambria Math" w:cstheme="minorHAnsi"/>
            <w:noProof/>
            <w:sz w:val="24"/>
            <w:szCs w:val="24"/>
          </w:rPr>
          <m:t>r(36)=-0.527, p=0.001</m:t>
        </m:r>
      </m:oMath>
      <w:r w:rsidR="0001604D" w:rsidRPr="005C6D34">
        <w:rPr>
          <w:rFonts w:cstheme="minorHAnsi"/>
          <w:noProof/>
          <w:sz w:val="24"/>
          <w:szCs w:val="24"/>
        </w:rPr>
        <w:t xml:space="preserve">). </w:t>
      </w:r>
    </w:p>
    <w:p w14:paraId="3A95177A" w14:textId="0B9FEA9B" w:rsidR="00921869" w:rsidRPr="005C6D34" w:rsidRDefault="00921869" w:rsidP="00921869">
      <w:pPr>
        <w:pStyle w:val="ListParagraph"/>
        <w:numPr>
          <w:ilvl w:val="1"/>
          <w:numId w:val="5"/>
        </w:numPr>
        <w:spacing w:line="360" w:lineRule="auto"/>
        <w:jc w:val="both"/>
        <w:rPr>
          <w:rFonts w:cstheme="minorHAnsi"/>
          <w:b/>
          <w:bCs/>
          <w:noProof/>
          <w:sz w:val="24"/>
          <w:szCs w:val="24"/>
        </w:rPr>
      </w:pPr>
      <w:r w:rsidRPr="005C6D34">
        <w:rPr>
          <w:rFonts w:cstheme="minorHAnsi"/>
          <w:b/>
          <w:bCs/>
          <w:noProof/>
          <w:sz w:val="24"/>
          <w:szCs w:val="24"/>
        </w:rPr>
        <w:t>Inferential</w:t>
      </w:r>
      <w:r w:rsidR="00CE6A20" w:rsidRPr="005C6D34">
        <w:rPr>
          <w:rFonts w:cstheme="minorHAnsi"/>
          <w:b/>
          <w:bCs/>
          <w:noProof/>
          <w:sz w:val="24"/>
          <w:szCs w:val="24"/>
        </w:rPr>
        <w:t xml:space="preserve"> </w:t>
      </w:r>
      <w:r w:rsidRPr="005C6D34">
        <w:rPr>
          <w:rFonts w:cstheme="minorHAnsi"/>
          <w:b/>
          <w:bCs/>
          <w:noProof/>
          <w:sz w:val="24"/>
          <w:szCs w:val="24"/>
        </w:rPr>
        <w:t>Analysis</w:t>
      </w:r>
    </w:p>
    <w:p w14:paraId="3E76B69D" w14:textId="063214E6" w:rsidR="0013266C" w:rsidRPr="005C6D34" w:rsidRDefault="00EE66D3" w:rsidP="00EE66D3">
      <w:pPr>
        <w:autoSpaceDE w:val="0"/>
        <w:autoSpaceDN w:val="0"/>
        <w:adjustRightInd w:val="0"/>
        <w:spacing w:after="0" w:line="360" w:lineRule="auto"/>
        <w:jc w:val="center"/>
        <w:rPr>
          <w:rFonts w:cstheme="minorHAnsi"/>
          <w:sz w:val="24"/>
          <w:szCs w:val="24"/>
        </w:rPr>
      </w:pPr>
      <w:r w:rsidRPr="005C6D34">
        <w:rPr>
          <w:rFonts w:cstheme="minorHAnsi"/>
          <w:sz w:val="24"/>
          <w:szCs w:val="24"/>
        </w:rPr>
        <w:t>Insert Table 4 here</w:t>
      </w:r>
    </w:p>
    <w:p w14:paraId="23C7D9F2" w14:textId="52BE32F2" w:rsidR="007518CB" w:rsidRPr="005C6D34" w:rsidRDefault="007518CB" w:rsidP="000A687F">
      <w:pPr>
        <w:autoSpaceDE w:val="0"/>
        <w:autoSpaceDN w:val="0"/>
        <w:adjustRightInd w:val="0"/>
        <w:spacing w:after="0" w:line="360" w:lineRule="auto"/>
        <w:jc w:val="both"/>
        <w:rPr>
          <w:rFonts w:cstheme="minorHAnsi"/>
          <w:sz w:val="24"/>
          <w:szCs w:val="24"/>
        </w:rPr>
      </w:pPr>
      <w:r w:rsidRPr="005C6D34">
        <w:rPr>
          <w:rFonts w:cstheme="minorHAnsi"/>
          <w:sz w:val="24"/>
          <w:szCs w:val="24"/>
        </w:rPr>
        <w:t xml:space="preserve">Table </w:t>
      </w:r>
      <w:r w:rsidR="00EE66D3" w:rsidRPr="005C6D34">
        <w:rPr>
          <w:rFonts w:cstheme="minorHAnsi"/>
          <w:sz w:val="24"/>
          <w:szCs w:val="24"/>
        </w:rPr>
        <w:t>4</w:t>
      </w:r>
      <w:r w:rsidRPr="005C6D34">
        <w:rPr>
          <w:rFonts w:cstheme="minorHAnsi"/>
          <w:sz w:val="24"/>
          <w:szCs w:val="24"/>
        </w:rPr>
        <w:t xml:space="preserve"> shows the ordinary least square regression results of the share of voter registration as the dependent variable</w:t>
      </w:r>
      <w:r w:rsidR="008C7B17" w:rsidRPr="005C6D34">
        <w:rPr>
          <w:rFonts w:cstheme="minorHAnsi"/>
          <w:sz w:val="24"/>
          <w:szCs w:val="24"/>
        </w:rPr>
        <w:t>,</w:t>
      </w:r>
      <w:r w:rsidRPr="005C6D34">
        <w:rPr>
          <w:rFonts w:cstheme="minorHAnsi"/>
          <w:sz w:val="24"/>
          <w:szCs w:val="24"/>
        </w:rPr>
        <w:t xml:space="preserve"> with unemployment rate, poverty headcount rate </w:t>
      </w:r>
      <w:r w:rsidR="00274FED" w:rsidRPr="005C6D34">
        <w:rPr>
          <w:rFonts w:cstheme="minorHAnsi"/>
          <w:sz w:val="24"/>
          <w:szCs w:val="24"/>
        </w:rPr>
        <w:t>and</w:t>
      </w:r>
      <w:r w:rsidRPr="005C6D34">
        <w:rPr>
          <w:rFonts w:cstheme="minorHAnsi"/>
          <w:sz w:val="24"/>
          <w:szCs w:val="24"/>
        </w:rPr>
        <w:t xml:space="preserve"> internet connection per head as the dependent variables. The result</w:t>
      </w:r>
      <w:r w:rsidR="006E5BA2" w:rsidRPr="005C6D34">
        <w:rPr>
          <w:rFonts w:cstheme="minorHAnsi"/>
          <w:sz w:val="24"/>
          <w:szCs w:val="24"/>
        </w:rPr>
        <w:t>s</w:t>
      </w:r>
      <w:r w:rsidRPr="005C6D34">
        <w:rPr>
          <w:rFonts w:cstheme="minorHAnsi"/>
          <w:sz w:val="24"/>
          <w:szCs w:val="24"/>
        </w:rPr>
        <w:t xml:space="preserve"> show a statistically significant effect of internet connection per head on the share of voter registration. The coefficient is </w:t>
      </w:r>
      <w:r w:rsidRPr="005C6D34">
        <w:rPr>
          <w:rFonts w:cstheme="minorHAnsi"/>
          <w:sz w:val="24"/>
          <w:szCs w:val="24"/>
        </w:rPr>
        <w:lastRenderedPageBreak/>
        <w:t xml:space="preserve">positive, </w:t>
      </w:r>
      <w:r w:rsidR="005630D7" w:rsidRPr="005C6D34">
        <w:rPr>
          <w:rFonts w:cstheme="minorHAnsi"/>
          <w:sz w:val="24"/>
          <w:szCs w:val="24"/>
        </w:rPr>
        <w:t>meaning a one-unit increase</w:t>
      </w:r>
      <w:r w:rsidRPr="005C6D34">
        <w:rPr>
          <w:rFonts w:cstheme="minorHAnsi"/>
          <w:sz w:val="24"/>
          <w:szCs w:val="24"/>
        </w:rPr>
        <w:t xml:space="preserve"> in </w:t>
      </w:r>
      <w:r w:rsidR="008C7B17" w:rsidRPr="005C6D34">
        <w:rPr>
          <w:rFonts w:cstheme="minorHAnsi"/>
          <w:sz w:val="24"/>
          <w:szCs w:val="24"/>
        </w:rPr>
        <w:t xml:space="preserve">internet </w:t>
      </w:r>
      <w:r w:rsidR="003A31E7" w:rsidRPr="005C6D34">
        <w:rPr>
          <w:rFonts w:cstheme="minorHAnsi"/>
          <w:sz w:val="24"/>
          <w:szCs w:val="24"/>
        </w:rPr>
        <w:t>connection</w:t>
      </w:r>
      <w:r w:rsidRPr="005C6D34">
        <w:rPr>
          <w:rFonts w:cstheme="minorHAnsi"/>
          <w:sz w:val="24"/>
          <w:szCs w:val="24"/>
        </w:rPr>
        <w:t xml:space="preserve"> will increase voter registration </w:t>
      </w:r>
      <w:r w:rsidR="003C7623" w:rsidRPr="005C6D34">
        <w:rPr>
          <w:rFonts w:cstheme="minorHAnsi"/>
          <w:sz w:val="24"/>
          <w:szCs w:val="24"/>
        </w:rPr>
        <w:t>by almost seven</w:t>
      </w:r>
      <w:r w:rsidRPr="005C6D34">
        <w:rPr>
          <w:rFonts w:cstheme="minorHAnsi"/>
          <w:sz w:val="24"/>
          <w:szCs w:val="24"/>
        </w:rPr>
        <w:t xml:space="preserve"> times. </w:t>
      </w:r>
      <w:r w:rsidR="00EC326B" w:rsidRPr="005C6D34">
        <w:rPr>
          <w:rFonts w:cstheme="minorHAnsi"/>
          <w:sz w:val="24"/>
          <w:szCs w:val="24"/>
        </w:rPr>
        <w:t>T</w:t>
      </w:r>
      <w:r w:rsidRPr="005C6D34">
        <w:rPr>
          <w:rFonts w:cstheme="minorHAnsi"/>
          <w:sz w:val="24"/>
          <w:szCs w:val="24"/>
        </w:rPr>
        <w:t xml:space="preserve">he coefficient </w:t>
      </w:r>
      <w:r w:rsidR="00636CC9" w:rsidRPr="005C6D34">
        <w:rPr>
          <w:rFonts w:cstheme="minorHAnsi"/>
          <w:sz w:val="24"/>
          <w:szCs w:val="24"/>
        </w:rPr>
        <w:t xml:space="preserve">of </w:t>
      </w:r>
      <w:r w:rsidR="002373A0" w:rsidRPr="005C6D34">
        <w:rPr>
          <w:rFonts w:cstheme="minorHAnsi"/>
          <w:sz w:val="24"/>
          <w:szCs w:val="24"/>
        </w:rPr>
        <w:t xml:space="preserve">the </w:t>
      </w:r>
      <w:r w:rsidR="00636CC9" w:rsidRPr="005C6D34">
        <w:rPr>
          <w:rFonts w:cstheme="minorHAnsi"/>
          <w:sz w:val="24"/>
          <w:szCs w:val="24"/>
        </w:rPr>
        <w:t xml:space="preserve">poverty </w:t>
      </w:r>
      <w:r w:rsidR="002373A0" w:rsidRPr="005C6D34">
        <w:rPr>
          <w:rFonts w:cstheme="minorHAnsi"/>
          <w:sz w:val="24"/>
          <w:szCs w:val="24"/>
        </w:rPr>
        <w:t xml:space="preserve">index </w:t>
      </w:r>
      <w:r w:rsidRPr="005C6D34">
        <w:rPr>
          <w:rFonts w:cstheme="minorHAnsi"/>
          <w:sz w:val="24"/>
          <w:szCs w:val="24"/>
        </w:rPr>
        <w:t xml:space="preserve">shows that for every rise in the </w:t>
      </w:r>
      <w:r w:rsidR="00675BB9" w:rsidRPr="005C6D34">
        <w:rPr>
          <w:rFonts w:cstheme="minorHAnsi"/>
          <w:sz w:val="24"/>
          <w:szCs w:val="24"/>
        </w:rPr>
        <w:t>poverty</w:t>
      </w:r>
      <w:r w:rsidRPr="005C6D34">
        <w:rPr>
          <w:rFonts w:cstheme="minorHAnsi"/>
          <w:sz w:val="24"/>
          <w:szCs w:val="24"/>
        </w:rPr>
        <w:t xml:space="preserve"> rate in a </w:t>
      </w:r>
      <w:r w:rsidR="002F6B7C" w:rsidRPr="005C6D34">
        <w:rPr>
          <w:rFonts w:cstheme="minorHAnsi"/>
          <w:sz w:val="24"/>
          <w:szCs w:val="24"/>
        </w:rPr>
        <w:t>State</w:t>
      </w:r>
      <w:r w:rsidRPr="005C6D34">
        <w:rPr>
          <w:rFonts w:cstheme="minorHAnsi"/>
          <w:sz w:val="24"/>
          <w:szCs w:val="24"/>
        </w:rPr>
        <w:t xml:space="preserve">, there will be </w:t>
      </w:r>
      <w:r w:rsidR="001666AF" w:rsidRPr="005C6D34">
        <w:rPr>
          <w:rFonts w:cstheme="minorHAnsi"/>
          <w:sz w:val="24"/>
          <w:szCs w:val="24"/>
        </w:rPr>
        <w:t>a</w:t>
      </w:r>
      <w:r w:rsidRPr="005C6D34">
        <w:rPr>
          <w:rFonts w:cstheme="minorHAnsi"/>
          <w:sz w:val="24"/>
          <w:szCs w:val="24"/>
        </w:rPr>
        <w:t xml:space="preserve"> </w:t>
      </w:r>
      <w:r w:rsidR="00AA1698" w:rsidRPr="005C6D34">
        <w:rPr>
          <w:rFonts w:cstheme="minorHAnsi"/>
          <w:sz w:val="24"/>
          <w:szCs w:val="24"/>
        </w:rPr>
        <w:t>decrease</w:t>
      </w:r>
      <w:r w:rsidRPr="005C6D34">
        <w:rPr>
          <w:rFonts w:cstheme="minorHAnsi"/>
          <w:sz w:val="24"/>
          <w:szCs w:val="24"/>
        </w:rPr>
        <w:t xml:space="preserve"> in voter registration by 14.1%. That means </w:t>
      </w:r>
      <w:r w:rsidR="002F6B7C" w:rsidRPr="005C6D34">
        <w:rPr>
          <w:rFonts w:cstheme="minorHAnsi"/>
          <w:sz w:val="24"/>
          <w:szCs w:val="24"/>
        </w:rPr>
        <w:t xml:space="preserve">voters are </w:t>
      </w:r>
      <w:r w:rsidR="001666AF" w:rsidRPr="005C6D34">
        <w:rPr>
          <w:rFonts w:cstheme="minorHAnsi"/>
          <w:sz w:val="24"/>
          <w:szCs w:val="24"/>
        </w:rPr>
        <w:t>un</w:t>
      </w:r>
      <w:r w:rsidR="002F6B7C" w:rsidRPr="005C6D34">
        <w:rPr>
          <w:rFonts w:cstheme="minorHAnsi"/>
          <w:sz w:val="24"/>
          <w:szCs w:val="24"/>
        </w:rPr>
        <w:t>like</w:t>
      </w:r>
      <w:r w:rsidR="001D5E59" w:rsidRPr="005C6D34">
        <w:rPr>
          <w:rFonts w:cstheme="minorHAnsi"/>
          <w:sz w:val="24"/>
          <w:szCs w:val="24"/>
        </w:rPr>
        <w:t>ly to vote because of the</w:t>
      </w:r>
      <w:r w:rsidR="001666AF" w:rsidRPr="005C6D34">
        <w:rPr>
          <w:rFonts w:cstheme="minorHAnsi"/>
          <w:sz w:val="24"/>
          <w:szCs w:val="24"/>
        </w:rPr>
        <w:t xml:space="preserve"> deprivation of basic needs like </w:t>
      </w:r>
      <w:r w:rsidR="002373A0" w:rsidRPr="005C6D34">
        <w:rPr>
          <w:rFonts w:cstheme="minorHAnsi"/>
          <w:sz w:val="24"/>
          <w:szCs w:val="24"/>
        </w:rPr>
        <w:t>mobile</w:t>
      </w:r>
      <w:r w:rsidR="001666AF" w:rsidRPr="005C6D34">
        <w:rPr>
          <w:rFonts w:cstheme="minorHAnsi"/>
          <w:sz w:val="24"/>
          <w:szCs w:val="24"/>
        </w:rPr>
        <w:t xml:space="preserve"> phones, education, and other household assets</w:t>
      </w:r>
      <w:r w:rsidRPr="005C6D34">
        <w:rPr>
          <w:rFonts w:cstheme="minorHAnsi"/>
          <w:sz w:val="24"/>
          <w:szCs w:val="24"/>
        </w:rPr>
        <w:t>. The coefficient of poverty shows that a one</w:t>
      </w:r>
      <w:r w:rsidR="00274FED" w:rsidRPr="005C6D34">
        <w:rPr>
          <w:rFonts w:cstheme="minorHAnsi"/>
          <w:sz w:val="24"/>
          <w:szCs w:val="24"/>
        </w:rPr>
        <w:t>-</w:t>
      </w:r>
      <w:r w:rsidRPr="005C6D34">
        <w:rPr>
          <w:rFonts w:cstheme="minorHAnsi"/>
          <w:sz w:val="24"/>
          <w:szCs w:val="24"/>
        </w:rPr>
        <w:t xml:space="preserve">unit rise in those living below the poverty line will reduce voter registration in the respective </w:t>
      </w:r>
      <w:r w:rsidR="00BD21F1" w:rsidRPr="005C6D34">
        <w:rPr>
          <w:rFonts w:cstheme="minorHAnsi"/>
          <w:sz w:val="24"/>
          <w:szCs w:val="24"/>
        </w:rPr>
        <w:t>s</w:t>
      </w:r>
      <w:r w:rsidRPr="005C6D34">
        <w:rPr>
          <w:rFonts w:cstheme="minorHAnsi"/>
          <w:sz w:val="24"/>
          <w:szCs w:val="24"/>
        </w:rPr>
        <w:t xml:space="preserve">tate. </w:t>
      </w:r>
      <w:r w:rsidR="002373A0" w:rsidRPr="005C6D34">
        <w:rPr>
          <w:rFonts w:cstheme="minorHAnsi"/>
          <w:sz w:val="24"/>
          <w:szCs w:val="24"/>
        </w:rPr>
        <w:t>The unemployment rate is not statistically significant.</w:t>
      </w:r>
    </w:p>
    <w:p w14:paraId="5DAB817F" w14:textId="77777777" w:rsidR="00C310DB" w:rsidRPr="005C6D34" w:rsidRDefault="00C310DB" w:rsidP="000A687F">
      <w:pPr>
        <w:autoSpaceDE w:val="0"/>
        <w:autoSpaceDN w:val="0"/>
        <w:adjustRightInd w:val="0"/>
        <w:spacing w:after="0" w:line="360" w:lineRule="auto"/>
        <w:jc w:val="both"/>
        <w:rPr>
          <w:rFonts w:cstheme="minorHAnsi"/>
          <w:sz w:val="24"/>
          <w:szCs w:val="24"/>
        </w:rPr>
      </w:pPr>
    </w:p>
    <w:p w14:paraId="6FCCA40B" w14:textId="0CCC8B39" w:rsidR="00C310DB" w:rsidRPr="005C6D34" w:rsidRDefault="00C310DB" w:rsidP="000A687F">
      <w:pPr>
        <w:autoSpaceDE w:val="0"/>
        <w:autoSpaceDN w:val="0"/>
        <w:adjustRightInd w:val="0"/>
        <w:spacing w:after="0" w:line="360" w:lineRule="auto"/>
        <w:jc w:val="center"/>
        <w:rPr>
          <w:rFonts w:cstheme="minorHAnsi"/>
          <w:sz w:val="24"/>
          <w:szCs w:val="24"/>
        </w:rPr>
      </w:pPr>
      <w:r w:rsidRPr="005C6D34">
        <w:rPr>
          <w:rFonts w:cstheme="minorHAnsi"/>
          <w:sz w:val="24"/>
          <w:szCs w:val="24"/>
        </w:rPr>
        <w:t xml:space="preserve">Insert Table </w:t>
      </w:r>
      <w:r w:rsidR="00EE66D3" w:rsidRPr="005C6D34">
        <w:rPr>
          <w:rFonts w:cstheme="minorHAnsi"/>
          <w:sz w:val="24"/>
          <w:szCs w:val="24"/>
        </w:rPr>
        <w:t>5</w:t>
      </w:r>
      <w:r w:rsidRPr="005C6D34">
        <w:rPr>
          <w:rFonts w:cstheme="minorHAnsi"/>
          <w:sz w:val="24"/>
          <w:szCs w:val="24"/>
        </w:rPr>
        <w:t xml:space="preserve"> here</w:t>
      </w:r>
    </w:p>
    <w:p w14:paraId="509708BE" w14:textId="77777777" w:rsidR="00C310DB" w:rsidRPr="005C6D34" w:rsidRDefault="00C310DB" w:rsidP="000A687F">
      <w:pPr>
        <w:autoSpaceDE w:val="0"/>
        <w:autoSpaceDN w:val="0"/>
        <w:adjustRightInd w:val="0"/>
        <w:spacing w:after="0" w:line="360" w:lineRule="auto"/>
        <w:jc w:val="both"/>
        <w:rPr>
          <w:rFonts w:cstheme="minorHAnsi"/>
          <w:sz w:val="24"/>
          <w:szCs w:val="24"/>
        </w:rPr>
      </w:pPr>
    </w:p>
    <w:p w14:paraId="7A289EF6" w14:textId="3220C010" w:rsidR="007518CB" w:rsidRPr="005C6D34" w:rsidRDefault="007518CB" w:rsidP="000A687F">
      <w:pPr>
        <w:autoSpaceDE w:val="0"/>
        <w:autoSpaceDN w:val="0"/>
        <w:adjustRightInd w:val="0"/>
        <w:spacing w:after="0" w:line="360" w:lineRule="auto"/>
        <w:jc w:val="both"/>
        <w:rPr>
          <w:rFonts w:cstheme="minorHAnsi"/>
          <w:sz w:val="24"/>
          <w:szCs w:val="24"/>
        </w:rPr>
      </w:pPr>
      <w:r w:rsidRPr="005C6D34">
        <w:rPr>
          <w:rFonts w:cstheme="minorHAnsi"/>
          <w:sz w:val="24"/>
          <w:szCs w:val="24"/>
        </w:rPr>
        <w:t xml:space="preserve">Table </w:t>
      </w:r>
      <w:r w:rsidR="00EE66D3" w:rsidRPr="005C6D34">
        <w:rPr>
          <w:rFonts w:cstheme="minorHAnsi"/>
          <w:sz w:val="24"/>
          <w:szCs w:val="24"/>
        </w:rPr>
        <w:t>5</w:t>
      </w:r>
      <w:r w:rsidRPr="005C6D34">
        <w:rPr>
          <w:rFonts w:cstheme="minorHAnsi"/>
          <w:sz w:val="24"/>
          <w:szCs w:val="24"/>
        </w:rPr>
        <w:t xml:space="preserve"> presents the analysis of the variance result of the regression model. We consider</w:t>
      </w:r>
      <w:r w:rsidR="00274FED" w:rsidRPr="005C6D34">
        <w:rPr>
          <w:rFonts w:cstheme="minorHAnsi"/>
          <w:sz w:val="24"/>
          <w:szCs w:val="24"/>
        </w:rPr>
        <w:t>ed</w:t>
      </w:r>
      <w:r w:rsidRPr="005C6D34">
        <w:rPr>
          <w:rFonts w:cstheme="minorHAnsi"/>
          <w:sz w:val="24"/>
          <w:szCs w:val="24"/>
        </w:rPr>
        <w:t xml:space="preserve"> three socio</w:t>
      </w:r>
      <w:r w:rsidR="00274FED" w:rsidRPr="005C6D34">
        <w:rPr>
          <w:rFonts w:cstheme="minorHAnsi"/>
          <w:sz w:val="24"/>
          <w:szCs w:val="24"/>
        </w:rPr>
        <w:t>-</w:t>
      </w:r>
      <w:r w:rsidRPr="005C6D34">
        <w:rPr>
          <w:rFonts w:cstheme="minorHAnsi"/>
          <w:sz w:val="24"/>
          <w:szCs w:val="24"/>
        </w:rPr>
        <w:t xml:space="preserve">economic factors as predictors: internet connection per head, unemployment rate </w:t>
      </w:r>
      <w:r w:rsidR="00274FED" w:rsidRPr="005C6D34">
        <w:rPr>
          <w:rFonts w:cstheme="minorHAnsi"/>
          <w:sz w:val="24"/>
          <w:szCs w:val="24"/>
        </w:rPr>
        <w:t>and</w:t>
      </w:r>
      <w:r w:rsidRPr="005C6D34">
        <w:rPr>
          <w:rFonts w:cstheme="minorHAnsi"/>
          <w:sz w:val="24"/>
          <w:szCs w:val="24"/>
        </w:rPr>
        <w:t xml:space="preserve"> poverty headcount rate. The variables </w:t>
      </w:r>
      <w:r w:rsidR="00DF7E2E" w:rsidRPr="005C6D34">
        <w:rPr>
          <w:rFonts w:cstheme="minorHAnsi"/>
          <w:sz w:val="24"/>
          <w:szCs w:val="24"/>
        </w:rPr>
        <w:t>we</w:t>
      </w:r>
      <w:r w:rsidRPr="005C6D34">
        <w:rPr>
          <w:rFonts w:cstheme="minorHAnsi"/>
          <w:sz w:val="24"/>
          <w:szCs w:val="24"/>
        </w:rPr>
        <w:t>re tested on the dependent variable</w:t>
      </w:r>
      <w:r w:rsidR="00DF7E2E" w:rsidRPr="005C6D34">
        <w:rPr>
          <w:rFonts w:cstheme="minorHAnsi"/>
          <w:sz w:val="24"/>
          <w:szCs w:val="24"/>
        </w:rPr>
        <w:t xml:space="preserve"> –</w:t>
      </w:r>
      <w:r w:rsidRPr="005C6D34">
        <w:rPr>
          <w:rFonts w:cstheme="minorHAnsi"/>
          <w:sz w:val="24"/>
          <w:szCs w:val="24"/>
        </w:rPr>
        <w:t xml:space="preserve"> voter registration. The sample size </w:t>
      </w:r>
      <w:r w:rsidR="00495CC3" w:rsidRPr="005C6D34">
        <w:rPr>
          <w:rFonts w:cstheme="minorHAnsi"/>
          <w:sz w:val="24"/>
          <w:szCs w:val="24"/>
        </w:rPr>
        <w:t>covers all the</w:t>
      </w:r>
      <w:r w:rsidRPr="005C6D34">
        <w:rPr>
          <w:rFonts w:cstheme="minorHAnsi"/>
          <w:sz w:val="24"/>
          <w:szCs w:val="24"/>
        </w:rPr>
        <w:t xml:space="preserve"> 37</w:t>
      </w:r>
      <w:r w:rsidR="00495CC3" w:rsidRPr="005C6D34">
        <w:rPr>
          <w:rFonts w:cstheme="minorHAnsi"/>
          <w:sz w:val="24"/>
          <w:szCs w:val="24"/>
        </w:rPr>
        <w:t xml:space="preserve"> States</w:t>
      </w:r>
      <w:r w:rsidRPr="005C6D34">
        <w:rPr>
          <w:rFonts w:cstheme="minorHAnsi"/>
          <w:sz w:val="24"/>
          <w:szCs w:val="24"/>
        </w:rPr>
        <w:t>, obtained from the sub</w:t>
      </w:r>
      <w:r w:rsidR="00274FED" w:rsidRPr="005C6D34">
        <w:rPr>
          <w:rFonts w:cstheme="minorHAnsi"/>
          <w:sz w:val="24"/>
          <w:szCs w:val="24"/>
        </w:rPr>
        <w:t>-</w:t>
      </w:r>
      <w:r w:rsidRPr="005C6D34">
        <w:rPr>
          <w:rFonts w:cstheme="minorHAnsi"/>
          <w:sz w:val="24"/>
          <w:szCs w:val="24"/>
        </w:rPr>
        <w:t xml:space="preserve">national governments of 36 states </w:t>
      </w:r>
      <w:r w:rsidR="00274FED" w:rsidRPr="005C6D34">
        <w:rPr>
          <w:rFonts w:cstheme="minorHAnsi"/>
          <w:sz w:val="24"/>
          <w:szCs w:val="24"/>
        </w:rPr>
        <w:t>and</w:t>
      </w:r>
      <w:r w:rsidRPr="005C6D34">
        <w:rPr>
          <w:rFonts w:cstheme="minorHAnsi"/>
          <w:sz w:val="24"/>
          <w:szCs w:val="24"/>
        </w:rPr>
        <w:t xml:space="preserve"> the federal capital in Nigeria. We reject</w:t>
      </w:r>
      <w:r w:rsidR="00DF7E2E" w:rsidRPr="005C6D34">
        <w:rPr>
          <w:rFonts w:cstheme="minorHAnsi"/>
          <w:sz w:val="24"/>
          <w:szCs w:val="24"/>
        </w:rPr>
        <w:t>ed</w:t>
      </w:r>
      <w:r w:rsidRPr="005C6D34">
        <w:rPr>
          <w:rFonts w:cstheme="minorHAnsi"/>
          <w:sz w:val="24"/>
          <w:szCs w:val="24"/>
        </w:rPr>
        <w:t xml:space="preserve"> the null hypothesis of equal population means since the test statistic </w:t>
      </w:r>
      <w:r w:rsidR="00DF7E2E" w:rsidRPr="005C6D34">
        <w:rPr>
          <w:rFonts w:cstheme="minorHAnsi"/>
          <w:sz w:val="24"/>
          <w:szCs w:val="24"/>
        </w:rPr>
        <w:t>wa</w:t>
      </w:r>
      <w:r w:rsidRPr="005C6D34">
        <w:rPr>
          <w:rFonts w:cstheme="minorHAnsi"/>
          <w:sz w:val="24"/>
          <w:szCs w:val="24"/>
        </w:rPr>
        <w:t>s significantly bigger than the critical value. We conclude</w:t>
      </w:r>
      <w:r w:rsidR="00274FED" w:rsidRPr="005C6D34">
        <w:rPr>
          <w:rFonts w:cstheme="minorHAnsi"/>
          <w:sz w:val="24"/>
          <w:szCs w:val="24"/>
        </w:rPr>
        <w:t>d</w:t>
      </w:r>
      <w:r w:rsidRPr="005C6D34">
        <w:rPr>
          <w:rFonts w:cstheme="minorHAnsi"/>
          <w:sz w:val="24"/>
          <w:szCs w:val="24"/>
        </w:rPr>
        <w:t xml:space="preserve"> that there </w:t>
      </w:r>
      <w:r w:rsidR="00DF7E2E" w:rsidRPr="005C6D34">
        <w:rPr>
          <w:rFonts w:cstheme="minorHAnsi"/>
          <w:sz w:val="24"/>
          <w:szCs w:val="24"/>
        </w:rPr>
        <w:t>wa</w:t>
      </w:r>
      <w:r w:rsidRPr="005C6D34">
        <w:rPr>
          <w:rFonts w:cstheme="minorHAnsi"/>
          <w:sz w:val="24"/>
          <w:szCs w:val="24"/>
        </w:rPr>
        <w:t xml:space="preserve">s a statistically significant difference between the population means. The test statistic </w:t>
      </w:r>
      <w:r w:rsidR="00DF7E2E" w:rsidRPr="005C6D34">
        <w:rPr>
          <w:rFonts w:cstheme="minorHAnsi"/>
          <w:sz w:val="24"/>
          <w:szCs w:val="24"/>
        </w:rPr>
        <w:t>wa</w:t>
      </w:r>
      <w:r w:rsidRPr="005C6D34">
        <w:rPr>
          <w:rFonts w:cstheme="minorHAnsi"/>
          <w:sz w:val="24"/>
          <w:szCs w:val="24"/>
        </w:rPr>
        <w:t>s significant at th</w:t>
      </w:r>
      <w:r w:rsidR="00DF7E2E" w:rsidRPr="005C6D34">
        <w:rPr>
          <w:rFonts w:cstheme="minorHAnsi"/>
          <w:sz w:val="24"/>
          <w:szCs w:val="24"/>
        </w:rPr>
        <w:t>e</w:t>
      </w:r>
      <w:r w:rsidRPr="005C6D34">
        <w:rPr>
          <w:rFonts w:cstheme="minorHAnsi"/>
          <w:sz w:val="24"/>
          <w:szCs w:val="24"/>
        </w:rPr>
        <w:t xml:space="preserve"> level of 3.523, as indicated by the p</w:t>
      </w:r>
      <w:r w:rsidR="00407AF2" w:rsidRPr="005C6D34">
        <w:rPr>
          <w:rFonts w:cstheme="minorHAnsi"/>
          <w:sz w:val="24"/>
          <w:szCs w:val="24"/>
        </w:rPr>
        <w:t>–</w:t>
      </w:r>
      <w:r w:rsidRPr="005C6D34">
        <w:rPr>
          <w:rFonts w:cstheme="minorHAnsi"/>
          <w:sz w:val="24"/>
          <w:szCs w:val="24"/>
        </w:rPr>
        <w:t xml:space="preserve">value of 0.026. </w:t>
      </w:r>
    </w:p>
    <w:p w14:paraId="03673663" w14:textId="77777777" w:rsidR="007518CB" w:rsidRPr="005C6D34" w:rsidRDefault="007518CB" w:rsidP="000A687F">
      <w:pPr>
        <w:autoSpaceDE w:val="0"/>
        <w:autoSpaceDN w:val="0"/>
        <w:adjustRightInd w:val="0"/>
        <w:spacing w:after="0" w:line="360" w:lineRule="auto"/>
        <w:rPr>
          <w:rFonts w:cstheme="minorHAnsi"/>
          <w:sz w:val="24"/>
          <w:szCs w:val="24"/>
        </w:rPr>
      </w:pPr>
    </w:p>
    <w:p w14:paraId="08878554" w14:textId="1F9FB3AD" w:rsidR="007518CB" w:rsidRPr="005C6D34" w:rsidRDefault="007518CB" w:rsidP="000A687F">
      <w:pPr>
        <w:spacing w:after="0" w:line="360" w:lineRule="auto"/>
        <w:jc w:val="both"/>
        <w:rPr>
          <w:rFonts w:cstheme="minorHAnsi"/>
          <w:sz w:val="24"/>
          <w:szCs w:val="24"/>
        </w:rPr>
      </w:pPr>
      <w:r w:rsidRPr="005C6D34">
        <w:rPr>
          <w:rFonts w:cstheme="minorHAnsi"/>
          <w:sz w:val="24"/>
          <w:szCs w:val="24"/>
        </w:rPr>
        <w:t xml:space="preserve">We measured the strength of the relationship of </w:t>
      </w:r>
      <w:r w:rsidR="003E395A" w:rsidRPr="005C6D34">
        <w:rPr>
          <w:rFonts w:cstheme="minorHAnsi"/>
          <w:sz w:val="24"/>
          <w:szCs w:val="24"/>
        </w:rPr>
        <w:t xml:space="preserve">the </w:t>
      </w:r>
      <w:r w:rsidRPr="005C6D34">
        <w:rPr>
          <w:rFonts w:cstheme="minorHAnsi"/>
          <w:sz w:val="24"/>
          <w:szCs w:val="24"/>
        </w:rPr>
        <w:t xml:space="preserve">variables via an extraction method of principal component analysis (PCA), following Costello </w:t>
      </w:r>
      <w:r w:rsidR="00087427" w:rsidRPr="005C6D34">
        <w:rPr>
          <w:rFonts w:cstheme="minorHAnsi"/>
          <w:sz w:val="24"/>
          <w:szCs w:val="24"/>
        </w:rPr>
        <w:t>&amp;</w:t>
      </w:r>
      <w:r w:rsidRPr="005C6D34">
        <w:rPr>
          <w:rFonts w:cstheme="minorHAnsi"/>
          <w:sz w:val="24"/>
          <w:szCs w:val="24"/>
        </w:rPr>
        <w:t xml:space="preserve"> Osborne (2005). Tests were performed to measure the strength of the relationship among the variables using </w:t>
      </w:r>
      <w:r w:rsidR="00274FED" w:rsidRPr="005C6D34">
        <w:rPr>
          <w:rFonts w:cstheme="minorHAnsi"/>
          <w:sz w:val="24"/>
          <w:szCs w:val="24"/>
        </w:rPr>
        <w:t xml:space="preserve">the </w:t>
      </w:r>
      <w:r w:rsidRPr="005C6D34">
        <w:rPr>
          <w:rFonts w:cstheme="minorHAnsi"/>
          <w:sz w:val="24"/>
          <w:szCs w:val="24"/>
        </w:rPr>
        <w:t>Kaiser</w:t>
      </w:r>
      <w:r w:rsidR="00274FED" w:rsidRPr="005C6D34">
        <w:rPr>
          <w:rFonts w:cstheme="minorHAnsi"/>
          <w:sz w:val="24"/>
          <w:szCs w:val="24"/>
        </w:rPr>
        <w:t>-</w:t>
      </w:r>
      <w:r w:rsidRPr="005C6D34">
        <w:rPr>
          <w:rFonts w:cstheme="minorHAnsi"/>
          <w:sz w:val="24"/>
          <w:szCs w:val="24"/>
        </w:rPr>
        <w:t>Meyer</w:t>
      </w:r>
      <w:r w:rsidR="00274FED" w:rsidRPr="005C6D34">
        <w:rPr>
          <w:rFonts w:cstheme="minorHAnsi"/>
          <w:sz w:val="24"/>
          <w:szCs w:val="24"/>
        </w:rPr>
        <w:t>-</w:t>
      </w:r>
      <w:r w:rsidRPr="005C6D34">
        <w:rPr>
          <w:rFonts w:cstheme="minorHAnsi"/>
          <w:sz w:val="24"/>
          <w:szCs w:val="24"/>
        </w:rPr>
        <w:t xml:space="preserve">Olkin (KMO) </w:t>
      </w:r>
      <w:r w:rsidR="00274FED" w:rsidRPr="005C6D34">
        <w:rPr>
          <w:rFonts w:cstheme="minorHAnsi"/>
          <w:sz w:val="24"/>
          <w:szCs w:val="24"/>
        </w:rPr>
        <w:t>and</w:t>
      </w:r>
      <w:r w:rsidRPr="005C6D34">
        <w:rPr>
          <w:rFonts w:cstheme="minorHAnsi"/>
          <w:sz w:val="24"/>
          <w:szCs w:val="24"/>
        </w:rPr>
        <w:t xml:space="preserve"> Bartlett</w:t>
      </w:r>
      <w:r w:rsidR="00DF7E2E" w:rsidRPr="005C6D34">
        <w:rPr>
          <w:rFonts w:cstheme="minorHAnsi"/>
          <w:sz w:val="24"/>
          <w:szCs w:val="24"/>
        </w:rPr>
        <w:t xml:space="preserve"> t</w:t>
      </w:r>
      <w:r w:rsidRPr="005C6D34">
        <w:rPr>
          <w:rFonts w:cstheme="minorHAnsi"/>
          <w:sz w:val="24"/>
          <w:szCs w:val="24"/>
        </w:rPr>
        <w:t xml:space="preserve">ests. </w:t>
      </w:r>
    </w:p>
    <w:p w14:paraId="2391915D" w14:textId="03663DC8" w:rsidR="00C310DB" w:rsidRPr="005C6D34" w:rsidRDefault="00C310DB" w:rsidP="000A687F">
      <w:pPr>
        <w:autoSpaceDE w:val="0"/>
        <w:autoSpaceDN w:val="0"/>
        <w:adjustRightInd w:val="0"/>
        <w:spacing w:before="240" w:after="0" w:line="360" w:lineRule="auto"/>
        <w:jc w:val="center"/>
        <w:rPr>
          <w:rFonts w:cstheme="minorHAnsi"/>
          <w:sz w:val="24"/>
          <w:szCs w:val="24"/>
        </w:rPr>
      </w:pPr>
      <w:r w:rsidRPr="005C6D34">
        <w:rPr>
          <w:rFonts w:cstheme="minorHAnsi"/>
          <w:sz w:val="24"/>
          <w:szCs w:val="24"/>
        </w:rPr>
        <w:t xml:space="preserve">Insert Table </w:t>
      </w:r>
      <w:r w:rsidR="00EE66D3" w:rsidRPr="005C6D34">
        <w:rPr>
          <w:rFonts w:cstheme="minorHAnsi"/>
          <w:sz w:val="24"/>
          <w:szCs w:val="24"/>
        </w:rPr>
        <w:t>6</w:t>
      </w:r>
      <w:r w:rsidRPr="005C6D34">
        <w:rPr>
          <w:rFonts w:cstheme="minorHAnsi"/>
          <w:sz w:val="24"/>
          <w:szCs w:val="24"/>
        </w:rPr>
        <w:t xml:space="preserve"> here</w:t>
      </w:r>
    </w:p>
    <w:p w14:paraId="42823B50" w14:textId="5ABDEB22" w:rsidR="007518CB" w:rsidRPr="005C6D34" w:rsidRDefault="007518CB" w:rsidP="000A687F">
      <w:pPr>
        <w:autoSpaceDE w:val="0"/>
        <w:autoSpaceDN w:val="0"/>
        <w:adjustRightInd w:val="0"/>
        <w:spacing w:before="240" w:after="0" w:line="360" w:lineRule="auto"/>
        <w:jc w:val="both"/>
        <w:rPr>
          <w:rFonts w:cstheme="minorHAnsi"/>
          <w:sz w:val="24"/>
          <w:szCs w:val="24"/>
        </w:rPr>
      </w:pPr>
      <w:r w:rsidRPr="005C6D34">
        <w:rPr>
          <w:rFonts w:cstheme="minorHAnsi"/>
          <w:sz w:val="24"/>
          <w:szCs w:val="24"/>
        </w:rPr>
        <w:t>The Kaiser</w:t>
      </w:r>
      <w:r w:rsidR="00274FED" w:rsidRPr="005C6D34">
        <w:rPr>
          <w:rFonts w:cstheme="minorHAnsi"/>
          <w:sz w:val="24"/>
          <w:szCs w:val="24"/>
        </w:rPr>
        <w:t>-</w:t>
      </w:r>
      <w:r w:rsidRPr="005C6D34">
        <w:rPr>
          <w:rFonts w:cstheme="minorHAnsi"/>
          <w:sz w:val="24"/>
          <w:szCs w:val="24"/>
        </w:rPr>
        <w:t>Meyer</w:t>
      </w:r>
      <w:r w:rsidR="00274FED" w:rsidRPr="005C6D34">
        <w:rPr>
          <w:rFonts w:cstheme="minorHAnsi"/>
          <w:sz w:val="24"/>
          <w:szCs w:val="24"/>
        </w:rPr>
        <w:t>-</w:t>
      </w:r>
      <w:r w:rsidRPr="005C6D34">
        <w:rPr>
          <w:rFonts w:cstheme="minorHAnsi"/>
          <w:sz w:val="24"/>
          <w:szCs w:val="24"/>
        </w:rPr>
        <w:t xml:space="preserve">Olkin </w:t>
      </w:r>
      <w:r w:rsidR="00DF7E2E" w:rsidRPr="005C6D34">
        <w:rPr>
          <w:rFonts w:cstheme="minorHAnsi"/>
          <w:sz w:val="24"/>
          <w:szCs w:val="24"/>
        </w:rPr>
        <w:t>t</w:t>
      </w:r>
      <w:r w:rsidRPr="005C6D34">
        <w:rPr>
          <w:rFonts w:cstheme="minorHAnsi"/>
          <w:sz w:val="24"/>
          <w:szCs w:val="24"/>
        </w:rPr>
        <w:t xml:space="preserve">est of </w:t>
      </w:r>
      <w:r w:rsidR="00DF7E2E" w:rsidRPr="005C6D34">
        <w:rPr>
          <w:rFonts w:cstheme="minorHAnsi"/>
          <w:sz w:val="24"/>
          <w:szCs w:val="24"/>
        </w:rPr>
        <w:t>s</w:t>
      </w:r>
      <w:r w:rsidRPr="005C6D34">
        <w:rPr>
          <w:rFonts w:cstheme="minorHAnsi"/>
          <w:sz w:val="24"/>
          <w:szCs w:val="24"/>
        </w:rPr>
        <w:t xml:space="preserve">ampling </w:t>
      </w:r>
      <w:r w:rsidR="00DF7E2E" w:rsidRPr="005C6D34">
        <w:rPr>
          <w:rFonts w:cstheme="minorHAnsi"/>
          <w:sz w:val="24"/>
          <w:szCs w:val="24"/>
        </w:rPr>
        <w:t>a</w:t>
      </w:r>
      <w:r w:rsidRPr="005C6D34">
        <w:rPr>
          <w:rFonts w:cstheme="minorHAnsi"/>
          <w:sz w:val="24"/>
          <w:szCs w:val="24"/>
        </w:rPr>
        <w:t xml:space="preserve">dequacy is a statistic that shows the amount of variance in the variables that underlying factors could explain. Table </w:t>
      </w:r>
      <w:r w:rsidR="00E803DA" w:rsidRPr="005C6D34">
        <w:rPr>
          <w:rFonts w:cstheme="minorHAnsi"/>
          <w:sz w:val="24"/>
          <w:szCs w:val="24"/>
        </w:rPr>
        <w:t>5</w:t>
      </w:r>
      <w:r w:rsidRPr="005C6D34">
        <w:rPr>
          <w:rFonts w:cstheme="minorHAnsi"/>
          <w:sz w:val="24"/>
          <w:szCs w:val="24"/>
        </w:rPr>
        <w:t xml:space="preserve"> displays two tests that indicate the viability of the data for criterion</w:t>
      </w:r>
      <w:r w:rsidR="00274FED" w:rsidRPr="005C6D34">
        <w:rPr>
          <w:rFonts w:cstheme="minorHAnsi"/>
          <w:sz w:val="24"/>
          <w:szCs w:val="24"/>
        </w:rPr>
        <w:t>-</w:t>
      </w:r>
      <w:r w:rsidRPr="005C6D34">
        <w:rPr>
          <w:rFonts w:cstheme="minorHAnsi"/>
          <w:sz w:val="24"/>
          <w:szCs w:val="24"/>
        </w:rPr>
        <w:t xml:space="preserve">related validity. The KMO measures showed that </w:t>
      </w:r>
      <w:r w:rsidRPr="005C6D34">
        <w:rPr>
          <w:rFonts w:cstheme="minorHAnsi"/>
          <w:sz w:val="24"/>
          <w:szCs w:val="24"/>
        </w:rPr>
        <w:lastRenderedPageBreak/>
        <w:t xml:space="preserve">the responses provided by the sample were adequate for a PCA. Kaiser </w:t>
      </w:r>
      <w:r w:rsidR="00087427" w:rsidRPr="005C6D34">
        <w:rPr>
          <w:rFonts w:cstheme="minorHAnsi"/>
          <w:sz w:val="24"/>
          <w:szCs w:val="24"/>
        </w:rPr>
        <w:t>&amp;</w:t>
      </w:r>
      <w:r w:rsidRPr="005C6D34">
        <w:rPr>
          <w:rFonts w:cstheme="minorHAnsi"/>
          <w:sz w:val="24"/>
          <w:szCs w:val="24"/>
        </w:rPr>
        <w:t xml:space="preserve"> Rice (1974) recommend a value of 0.5</w:t>
      </w:r>
      <w:r w:rsidR="00407AF2" w:rsidRPr="005C6D34">
        <w:rPr>
          <w:rFonts w:cstheme="minorHAnsi"/>
          <w:sz w:val="24"/>
          <w:szCs w:val="24"/>
        </w:rPr>
        <w:t>–</w:t>
      </w:r>
      <w:r w:rsidRPr="005C6D34">
        <w:rPr>
          <w:rFonts w:cstheme="minorHAnsi"/>
          <w:sz w:val="24"/>
          <w:szCs w:val="24"/>
        </w:rPr>
        <w:t xml:space="preserve">0.8 to be acceptable, with values over 0.9 to be excellent. We found a KMO value of 0.558, </w:t>
      </w:r>
      <w:r w:rsidR="00274FED" w:rsidRPr="005C6D34">
        <w:rPr>
          <w:rFonts w:cstheme="minorHAnsi"/>
          <w:sz w:val="24"/>
          <w:szCs w:val="24"/>
        </w:rPr>
        <w:t>and</w:t>
      </w:r>
      <w:r w:rsidR="00DF7E2E" w:rsidRPr="005C6D34">
        <w:rPr>
          <w:rFonts w:cstheme="minorHAnsi"/>
          <w:sz w:val="24"/>
          <w:szCs w:val="24"/>
        </w:rPr>
        <w:t xml:space="preserve"> the</w:t>
      </w:r>
      <w:r w:rsidRPr="005C6D34">
        <w:rPr>
          <w:rFonts w:cstheme="minorHAnsi"/>
          <w:sz w:val="24"/>
          <w:szCs w:val="24"/>
        </w:rPr>
        <w:t xml:space="preserve"> Bartlett test showed an indication of strength among the variables, which reject</w:t>
      </w:r>
      <w:r w:rsidR="00274FED" w:rsidRPr="005C6D34">
        <w:rPr>
          <w:rFonts w:cstheme="minorHAnsi"/>
          <w:sz w:val="24"/>
          <w:szCs w:val="24"/>
        </w:rPr>
        <w:t>ed</w:t>
      </w:r>
      <w:r w:rsidRPr="005C6D34">
        <w:rPr>
          <w:rFonts w:cstheme="minorHAnsi"/>
          <w:sz w:val="24"/>
          <w:szCs w:val="24"/>
        </w:rPr>
        <w:t xml:space="preserve"> the test (</w:t>
      </w:r>
      <w:r w:rsidRPr="005C6D34">
        <w:rPr>
          <w:rFonts w:cstheme="minorHAnsi"/>
          <w:i/>
          <w:sz w:val="24"/>
          <w:szCs w:val="24"/>
        </w:rPr>
        <w:t>p=0.003</w:t>
      </w:r>
      <w:r w:rsidRPr="005C6D34">
        <w:rPr>
          <w:rFonts w:cstheme="minorHAnsi"/>
          <w:sz w:val="24"/>
          <w:szCs w:val="24"/>
        </w:rPr>
        <w:t xml:space="preserve">, </w:t>
      </w:r>
      <w:proofErr w:type="spellStart"/>
      <w:r w:rsidRPr="005C6D34">
        <w:rPr>
          <w:rFonts w:cstheme="minorHAnsi"/>
          <w:i/>
          <w:sz w:val="24"/>
          <w:szCs w:val="24"/>
        </w:rPr>
        <w:t>df</w:t>
      </w:r>
      <w:proofErr w:type="spellEnd"/>
      <w:r w:rsidRPr="005C6D34">
        <w:rPr>
          <w:rFonts w:cstheme="minorHAnsi"/>
          <w:i/>
          <w:sz w:val="24"/>
          <w:szCs w:val="24"/>
        </w:rPr>
        <w:t>=6</w:t>
      </w:r>
      <w:r w:rsidRPr="005C6D34">
        <w:rPr>
          <w:rFonts w:cstheme="minorHAnsi"/>
          <w:sz w:val="24"/>
          <w:szCs w:val="24"/>
        </w:rPr>
        <w:t xml:space="preserve">), concluding that there </w:t>
      </w:r>
      <w:r w:rsidR="00DF7E2E" w:rsidRPr="005C6D34">
        <w:rPr>
          <w:rFonts w:cstheme="minorHAnsi"/>
          <w:sz w:val="24"/>
          <w:szCs w:val="24"/>
        </w:rPr>
        <w:t>was</w:t>
      </w:r>
      <w:r w:rsidRPr="005C6D34">
        <w:rPr>
          <w:rFonts w:cstheme="minorHAnsi"/>
          <w:sz w:val="24"/>
          <w:szCs w:val="24"/>
        </w:rPr>
        <w:t xml:space="preserve"> a statistical significance </w:t>
      </w:r>
      <w:r w:rsidR="001D5E59" w:rsidRPr="005C6D34">
        <w:rPr>
          <w:rFonts w:cstheme="minorHAnsi"/>
          <w:sz w:val="24"/>
          <w:szCs w:val="24"/>
        </w:rPr>
        <w:t>among the</w:t>
      </w:r>
      <w:r w:rsidRPr="005C6D34">
        <w:rPr>
          <w:rFonts w:cstheme="minorHAnsi"/>
          <w:sz w:val="24"/>
          <w:szCs w:val="24"/>
        </w:rPr>
        <w:t xml:space="preserve"> variables.  </w:t>
      </w:r>
    </w:p>
    <w:p w14:paraId="192A3D10" w14:textId="77777777" w:rsidR="007518CB" w:rsidRPr="005C6D34" w:rsidRDefault="007518CB" w:rsidP="000A687F">
      <w:pPr>
        <w:autoSpaceDE w:val="0"/>
        <w:autoSpaceDN w:val="0"/>
        <w:adjustRightInd w:val="0"/>
        <w:spacing w:after="0" w:line="360" w:lineRule="auto"/>
        <w:rPr>
          <w:rFonts w:cstheme="minorHAnsi"/>
          <w:sz w:val="24"/>
          <w:szCs w:val="24"/>
        </w:rPr>
      </w:pPr>
    </w:p>
    <w:p w14:paraId="2794DAF1" w14:textId="764163DA" w:rsidR="007518CB" w:rsidRPr="005C6D34" w:rsidRDefault="00C310DB" w:rsidP="000A687F">
      <w:pPr>
        <w:spacing w:after="0" w:line="360" w:lineRule="auto"/>
        <w:jc w:val="center"/>
        <w:rPr>
          <w:rFonts w:cstheme="minorHAnsi"/>
          <w:sz w:val="24"/>
          <w:szCs w:val="24"/>
        </w:rPr>
      </w:pPr>
      <w:r w:rsidRPr="005C6D34">
        <w:rPr>
          <w:rFonts w:cstheme="minorHAnsi"/>
          <w:sz w:val="24"/>
          <w:szCs w:val="24"/>
        </w:rPr>
        <w:t xml:space="preserve">Insert Table </w:t>
      </w:r>
      <w:r w:rsidR="00EE66D3" w:rsidRPr="005C6D34">
        <w:rPr>
          <w:rFonts w:cstheme="minorHAnsi"/>
          <w:sz w:val="24"/>
          <w:szCs w:val="24"/>
        </w:rPr>
        <w:t>7</w:t>
      </w:r>
      <w:r w:rsidRPr="005C6D34">
        <w:rPr>
          <w:rFonts w:cstheme="minorHAnsi"/>
          <w:sz w:val="24"/>
          <w:szCs w:val="24"/>
        </w:rPr>
        <w:t xml:space="preserve"> here</w:t>
      </w:r>
    </w:p>
    <w:p w14:paraId="4A159129" w14:textId="77777777" w:rsidR="00C310DB" w:rsidRPr="005C6D34" w:rsidRDefault="00C310DB" w:rsidP="000A687F">
      <w:pPr>
        <w:spacing w:after="0" w:line="360" w:lineRule="auto"/>
        <w:jc w:val="both"/>
        <w:rPr>
          <w:rFonts w:cstheme="minorHAnsi"/>
          <w:sz w:val="24"/>
          <w:szCs w:val="24"/>
        </w:rPr>
      </w:pPr>
    </w:p>
    <w:p w14:paraId="14A01BFB" w14:textId="4E92747E" w:rsidR="007518CB" w:rsidRPr="005C6D34" w:rsidRDefault="007518CB" w:rsidP="000A687F">
      <w:pPr>
        <w:spacing w:after="0" w:line="360" w:lineRule="auto"/>
        <w:jc w:val="both"/>
        <w:rPr>
          <w:rFonts w:cstheme="minorHAnsi"/>
          <w:sz w:val="24"/>
          <w:szCs w:val="24"/>
        </w:rPr>
      </w:pPr>
      <w:r w:rsidRPr="005C6D34">
        <w:rPr>
          <w:rFonts w:cstheme="minorHAnsi"/>
          <w:sz w:val="24"/>
          <w:szCs w:val="24"/>
        </w:rPr>
        <w:t xml:space="preserve">Table </w:t>
      </w:r>
      <w:r w:rsidR="00EE66D3" w:rsidRPr="005C6D34">
        <w:rPr>
          <w:rFonts w:cstheme="minorHAnsi"/>
          <w:sz w:val="24"/>
          <w:szCs w:val="24"/>
        </w:rPr>
        <w:t>7</w:t>
      </w:r>
      <w:r w:rsidRPr="005C6D34">
        <w:rPr>
          <w:rFonts w:cstheme="minorHAnsi"/>
          <w:sz w:val="24"/>
          <w:szCs w:val="24"/>
        </w:rPr>
        <w:t xml:space="preserve"> shows the communalities with extraction by PCA. The middle column, initial, explains the proportion accounted for by each of the other variables, with the initial value as 1. A 68.6% variance is accounted for by the poverty headcount ratio in each </w:t>
      </w:r>
      <w:r w:rsidR="00BD21F1" w:rsidRPr="005C6D34">
        <w:rPr>
          <w:rFonts w:cstheme="minorHAnsi"/>
          <w:sz w:val="24"/>
          <w:szCs w:val="24"/>
        </w:rPr>
        <w:t>s</w:t>
      </w:r>
      <w:r w:rsidRPr="005C6D34">
        <w:rPr>
          <w:rFonts w:cstheme="minorHAnsi"/>
          <w:sz w:val="24"/>
          <w:szCs w:val="24"/>
        </w:rPr>
        <w:t>tate. The unemployment rate accounts for 81.7% of the change, while internet connection explains 75.8% of total voter registration in the country. The extraction is the estimated variance in each variable derived from the PCA solution, which can be interpreted as R</w:t>
      </w:r>
      <w:r w:rsidRPr="005C6D34">
        <w:rPr>
          <w:rFonts w:cstheme="minorHAnsi"/>
          <w:sz w:val="24"/>
          <w:szCs w:val="24"/>
          <w:vertAlign w:val="superscript"/>
        </w:rPr>
        <w:t>2</w:t>
      </w:r>
      <w:r w:rsidRPr="005C6D34">
        <w:rPr>
          <w:rFonts w:cstheme="minorHAnsi"/>
          <w:sz w:val="24"/>
          <w:szCs w:val="24"/>
        </w:rPr>
        <w:t xml:space="preserve"> in multiple regression. Values lower than 0.5 mean that the variables do not fit well with the solution. Therefore, the variance of the share of total registered voters </w:t>
      </w:r>
      <w:r w:rsidR="00274FED" w:rsidRPr="005C6D34">
        <w:rPr>
          <w:rFonts w:cstheme="minorHAnsi"/>
          <w:sz w:val="24"/>
          <w:szCs w:val="24"/>
        </w:rPr>
        <w:t>was</w:t>
      </w:r>
      <w:r w:rsidRPr="005C6D34">
        <w:rPr>
          <w:rFonts w:cstheme="minorHAnsi"/>
          <w:sz w:val="24"/>
          <w:szCs w:val="24"/>
        </w:rPr>
        <w:t xml:space="preserve"> accounted for in every respect.</w:t>
      </w:r>
    </w:p>
    <w:p w14:paraId="7EA168B0" w14:textId="5F5D37EC" w:rsidR="00242CEC" w:rsidRPr="005C6D34" w:rsidRDefault="002218C5" w:rsidP="00595F18">
      <w:pPr>
        <w:spacing w:before="240" w:after="160" w:line="360" w:lineRule="auto"/>
        <w:jc w:val="both"/>
        <w:rPr>
          <w:rFonts w:eastAsia="Calibri" w:cstheme="minorHAnsi"/>
          <w:sz w:val="24"/>
          <w:szCs w:val="24"/>
        </w:rPr>
      </w:pPr>
      <w:r w:rsidRPr="005C6D34">
        <w:rPr>
          <w:rFonts w:eastAsia="Times New Roman" w:cstheme="minorHAnsi"/>
          <w:sz w:val="24"/>
          <w:szCs w:val="24"/>
        </w:rPr>
        <w:t>Using t</w:t>
      </w:r>
      <w:r w:rsidR="00242CEC" w:rsidRPr="005C6D34">
        <w:rPr>
          <w:rFonts w:eastAsia="Calibri" w:cstheme="minorHAnsi"/>
          <w:sz w:val="24"/>
          <w:szCs w:val="24"/>
        </w:rPr>
        <w:t xml:space="preserve">he </w:t>
      </w:r>
      <w:r w:rsidRPr="005C6D34">
        <w:rPr>
          <w:rFonts w:eastAsia="Calibri" w:cstheme="minorHAnsi"/>
          <w:sz w:val="24"/>
          <w:szCs w:val="24"/>
        </w:rPr>
        <w:t xml:space="preserve">KMO Bartlett’s test and the </w:t>
      </w:r>
      <w:r w:rsidR="00290E30" w:rsidRPr="005C6D34">
        <w:rPr>
          <w:rFonts w:eastAsia="Calibri" w:cstheme="minorHAnsi"/>
          <w:sz w:val="24"/>
          <w:szCs w:val="24"/>
        </w:rPr>
        <w:t xml:space="preserve">communality </w:t>
      </w:r>
      <w:r w:rsidR="00595F18" w:rsidRPr="005C6D34">
        <w:rPr>
          <w:rFonts w:eastAsia="Calibri" w:cstheme="minorHAnsi"/>
          <w:sz w:val="24"/>
          <w:szCs w:val="24"/>
        </w:rPr>
        <w:t>analysis</w:t>
      </w:r>
      <w:r w:rsidRPr="005C6D34">
        <w:rPr>
          <w:rFonts w:eastAsia="Calibri" w:cstheme="minorHAnsi"/>
          <w:sz w:val="24"/>
          <w:szCs w:val="24"/>
        </w:rPr>
        <w:t>, we can</w:t>
      </w:r>
      <w:r w:rsidR="00662F85" w:rsidRPr="005C6D34">
        <w:rPr>
          <w:rFonts w:eastAsia="Calibri" w:cstheme="minorHAnsi"/>
          <w:sz w:val="24"/>
          <w:szCs w:val="24"/>
        </w:rPr>
        <w:t xml:space="preserve"> now analyse</w:t>
      </w:r>
      <w:r w:rsidR="00242CEC" w:rsidRPr="005C6D34">
        <w:rPr>
          <w:rFonts w:eastAsia="Calibri" w:cstheme="minorHAnsi"/>
          <w:sz w:val="24"/>
          <w:szCs w:val="24"/>
        </w:rPr>
        <w:t xml:space="preserve"> the effects of socio-economic factors on voter registration across the sub-national governments</w:t>
      </w:r>
      <w:r w:rsidR="007727CF" w:rsidRPr="005C6D34">
        <w:rPr>
          <w:rFonts w:eastAsia="Calibri" w:cstheme="minorHAnsi"/>
          <w:sz w:val="24"/>
          <w:szCs w:val="24"/>
        </w:rPr>
        <w:t>. Th</w:t>
      </w:r>
      <w:r w:rsidR="00662F85" w:rsidRPr="005C6D34">
        <w:rPr>
          <w:rFonts w:eastAsia="Calibri" w:cstheme="minorHAnsi"/>
          <w:sz w:val="24"/>
          <w:szCs w:val="24"/>
        </w:rPr>
        <w:t xml:space="preserve">ese </w:t>
      </w:r>
      <w:r w:rsidR="00242CEC" w:rsidRPr="005C6D34">
        <w:rPr>
          <w:rFonts w:eastAsia="Calibri" w:cstheme="minorHAnsi"/>
          <w:sz w:val="24"/>
          <w:szCs w:val="24"/>
        </w:rPr>
        <w:t>test</w:t>
      </w:r>
      <w:r w:rsidR="00662F85" w:rsidRPr="005C6D34">
        <w:rPr>
          <w:rFonts w:eastAsia="Calibri" w:cstheme="minorHAnsi"/>
          <w:sz w:val="24"/>
          <w:szCs w:val="24"/>
        </w:rPr>
        <w:t>s</w:t>
      </w:r>
      <w:r w:rsidR="00242CEC" w:rsidRPr="005C6D34">
        <w:rPr>
          <w:rFonts w:eastAsia="Calibri" w:cstheme="minorHAnsi"/>
          <w:sz w:val="24"/>
          <w:szCs w:val="24"/>
        </w:rPr>
        <w:t xml:space="preserve"> </w:t>
      </w:r>
      <w:r w:rsidR="007727CF" w:rsidRPr="005C6D34">
        <w:rPr>
          <w:rFonts w:eastAsia="Calibri" w:cstheme="minorHAnsi"/>
          <w:sz w:val="24"/>
          <w:szCs w:val="24"/>
        </w:rPr>
        <w:t>ha</w:t>
      </w:r>
      <w:r w:rsidR="00662F85" w:rsidRPr="005C6D34">
        <w:rPr>
          <w:rFonts w:eastAsia="Calibri" w:cstheme="minorHAnsi"/>
          <w:sz w:val="24"/>
          <w:szCs w:val="24"/>
        </w:rPr>
        <w:t>ve</w:t>
      </w:r>
      <w:r w:rsidR="00242CEC" w:rsidRPr="005C6D34">
        <w:rPr>
          <w:rFonts w:eastAsia="Calibri" w:cstheme="minorHAnsi"/>
          <w:sz w:val="24"/>
          <w:szCs w:val="24"/>
        </w:rPr>
        <w:t xml:space="preserve"> </w:t>
      </w:r>
      <w:r w:rsidR="009C7A7D" w:rsidRPr="005C6D34">
        <w:rPr>
          <w:rFonts w:eastAsia="Calibri" w:cstheme="minorHAnsi"/>
          <w:sz w:val="24"/>
          <w:szCs w:val="24"/>
        </w:rPr>
        <w:t xml:space="preserve">empirically </w:t>
      </w:r>
      <w:r w:rsidR="00242CEC" w:rsidRPr="005C6D34">
        <w:rPr>
          <w:rFonts w:eastAsia="Calibri" w:cstheme="minorHAnsi"/>
          <w:sz w:val="24"/>
          <w:szCs w:val="24"/>
        </w:rPr>
        <w:t>determine</w:t>
      </w:r>
      <w:r w:rsidR="007727CF" w:rsidRPr="005C6D34">
        <w:rPr>
          <w:rFonts w:eastAsia="Calibri" w:cstheme="minorHAnsi"/>
          <w:sz w:val="24"/>
          <w:szCs w:val="24"/>
        </w:rPr>
        <w:t>d</w:t>
      </w:r>
      <w:r w:rsidR="00242CEC" w:rsidRPr="005C6D34">
        <w:rPr>
          <w:rFonts w:eastAsia="Calibri" w:cstheme="minorHAnsi"/>
          <w:sz w:val="24"/>
          <w:szCs w:val="24"/>
        </w:rPr>
        <w:t xml:space="preserve"> the partial correlation strength</w:t>
      </w:r>
      <w:r w:rsidR="009C7A7D" w:rsidRPr="005C6D34">
        <w:rPr>
          <w:rFonts w:eastAsia="Calibri" w:cstheme="minorHAnsi"/>
          <w:sz w:val="24"/>
          <w:szCs w:val="24"/>
        </w:rPr>
        <w:t xml:space="preserve"> and </w:t>
      </w:r>
      <w:r w:rsidR="00242CEC" w:rsidRPr="005C6D34">
        <w:rPr>
          <w:rFonts w:eastAsia="Calibri" w:cstheme="minorHAnsi"/>
          <w:sz w:val="24"/>
          <w:szCs w:val="24"/>
        </w:rPr>
        <w:t>how the variables explained each other.</w:t>
      </w:r>
    </w:p>
    <w:p w14:paraId="63883EEE" w14:textId="366FB812" w:rsidR="00AA3EB9" w:rsidRPr="005C6D34" w:rsidRDefault="00AA3EB9" w:rsidP="00A308E0">
      <w:pPr>
        <w:pStyle w:val="ListParagraph"/>
        <w:numPr>
          <w:ilvl w:val="1"/>
          <w:numId w:val="5"/>
        </w:numPr>
        <w:autoSpaceDE w:val="0"/>
        <w:autoSpaceDN w:val="0"/>
        <w:adjustRightInd w:val="0"/>
        <w:spacing w:after="0" w:line="360" w:lineRule="auto"/>
        <w:rPr>
          <w:rFonts w:cstheme="minorHAnsi"/>
          <w:b/>
          <w:bCs/>
          <w:sz w:val="24"/>
          <w:szCs w:val="24"/>
        </w:rPr>
      </w:pPr>
      <w:r w:rsidRPr="005C6D34">
        <w:rPr>
          <w:rFonts w:cstheme="minorHAnsi"/>
          <w:b/>
          <w:bCs/>
          <w:sz w:val="24"/>
          <w:szCs w:val="24"/>
        </w:rPr>
        <w:t xml:space="preserve">Discussion </w:t>
      </w:r>
      <w:r w:rsidR="00614A02" w:rsidRPr="005C6D34">
        <w:rPr>
          <w:rFonts w:cstheme="minorHAnsi"/>
          <w:b/>
          <w:bCs/>
          <w:sz w:val="24"/>
          <w:szCs w:val="24"/>
        </w:rPr>
        <w:t>of Results</w:t>
      </w:r>
    </w:p>
    <w:p w14:paraId="3C91EC02" w14:textId="68B0C76F" w:rsidR="00614A02" w:rsidRPr="005C6D34" w:rsidRDefault="0048630D" w:rsidP="0048630D">
      <w:pPr>
        <w:pStyle w:val="ListParagraph"/>
        <w:numPr>
          <w:ilvl w:val="2"/>
          <w:numId w:val="5"/>
        </w:numPr>
        <w:spacing w:line="360" w:lineRule="auto"/>
        <w:jc w:val="both"/>
        <w:rPr>
          <w:rFonts w:cstheme="minorHAnsi"/>
          <w:b/>
          <w:bCs/>
          <w:sz w:val="24"/>
          <w:szCs w:val="24"/>
        </w:rPr>
      </w:pPr>
      <w:r w:rsidRPr="005C6D34">
        <w:rPr>
          <w:rFonts w:cstheme="minorHAnsi"/>
          <w:b/>
          <w:bCs/>
          <w:sz w:val="24"/>
          <w:szCs w:val="24"/>
        </w:rPr>
        <w:t xml:space="preserve">The Impact of </w:t>
      </w:r>
      <w:r w:rsidR="00113069" w:rsidRPr="005C6D34">
        <w:rPr>
          <w:rFonts w:cstheme="minorHAnsi"/>
          <w:b/>
          <w:bCs/>
          <w:sz w:val="24"/>
          <w:szCs w:val="24"/>
        </w:rPr>
        <w:t xml:space="preserve">Internet Usage </w:t>
      </w:r>
      <w:r w:rsidR="00A45B8E" w:rsidRPr="005C6D34">
        <w:rPr>
          <w:rFonts w:cstheme="minorHAnsi"/>
          <w:b/>
          <w:bCs/>
          <w:sz w:val="24"/>
          <w:szCs w:val="24"/>
        </w:rPr>
        <w:t>on</w:t>
      </w:r>
      <w:r w:rsidR="00113069" w:rsidRPr="005C6D34">
        <w:rPr>
          <w:rFonts w:cstheme="minorHAnsi"/>
          <w:b/>
          <w:bCs/>
          <w:sz w:val="24"/>
          <w:szCs w:val="24"/>
        </w:rPr>
        <w:t xml:space="preserve"> </w:t>
      </w:r>
      <w:r w:rsidR="008A117D" w:rsidRPr="005C6D34">
        <w:rPr>
          <w:rFonts w:cstheme="minorHAnsi"/>
          <w:b/>
          <w:bCs/>
          <w:sz w:val="24"/>
          <w:szCs w:val="24"/>
        </w:rPr>
        <w:t xml:space="preserve">Civic </w:t>
      </w:r>
      <w:r w:rsidR="00A45B8E" w:rsidRPr="005C6D34">
        <w:rPr>
          <w:rFonts w:cstheme="minorHAnsi"/>
          <w:b/>
          <w:bCs/>
          <w:sz w:val="24"/>
          <w:szCs w:val="24"/>
        </w:rPr>
        <w:t>Participation</w:t>
      </w:r>
    </w:p>
    <w:p w14:paraId="7BE39A03" w14:textId="397E0032" w:rsidR="0000746B" w:rsidRPr="005C6D34" w:rsidRDefault="00F01CFB" w:rsidP="0000746B">
      <w:pPr>
        <w:spacing w:line="360" w:lineRule="auto"/>
        <w:jc w:val="both"/>
        <w:rPr>
          <w:rFonts w:cstheme="minorHAnsi"/>
          <w:sz w:val="24"/>
          <w:szCs w:val="24"/>
        </w:rPr>
      </w:pPr>
      <w:r w:rsidRPr="005C6D34">
        <w:rPr>
          <w:rFonts w:cstheme="minorHAnsi"/>
          <w:sz w:val="24"/>
          <w:szCs w:val="24"/>
        </w:rPr>
        <w:t>Empirically,</w:t>
      </w:r>
      <w:r w:rsidR="0000746B" w:rsidRPr="005C6D34">
        <w:rPr>
          <w:rFonts w:cstheme="minorHAnsi"/>
          <w:sz w:val="24"/>
          <w:szCs w:val="24"/>
        </w:rPr>
        <w:t xml:space="preserve"> we </w:t>
      </w:r>
      <w:r w:rsidR="00A45B8E" w:rsidRPr="005C6D34">
        <w:rPr>
          <w:rFonts w:cstheme="minorHAnsi"/>
          <w:sz w:val="24"/>
          <w:szCs w:val="24"/>
        </w:rPr>
        <w:t>observed that four</w:t>
      </w:r>
      <w:r w:rsidR="0000746B" w:rsidRPr="005C6D34">
        <w:rPr>
          <w:rFonts w:cstheme="minorHAnsi"/>
          <w:sz w:val="24"/>
          <w:szCs w:val="24"/>
        </w:rPr>
        <w:t xml:space="preserve"> out of six regions have a higher voter registration share t</w:t>
      </w:r>
      <w:r w:rsidR="00B04BCA" w:rsidRPr="005C6D34">
        <w:rPr>
          <w:rFonts w:cstheme="minorHAnsi"/>
          <w:sz w:val="24"/>
          <w:szCs w:val="24"/>
        </w:rPr>
        <w:t>han their population share</w:t>
      </w:r>
      <w:r w:rsidR="006C11BB" w:rsidRPr="005C6D34">
        <w:rPr>
          <w:rFonts w:cstheme="minorHAnsi"/>
          <w:sz w:val="24"/>
          <w:szCs w:val="24"/>
        </w:rPr>
        <w:t xml:space="preserve"> from Figure 1. The</w:t>
      </w:r>
      <w:r w:rsidR="00F6736C" w:rsidRPr="005C6D34">
        <w:rPr>
          <w:rFonts w:cstheme="minorHAnsi"/>
          <w:sz w:val="24"/>
          <w:szCs w:val="24"/>
        </w:rPr>
        <w:t xml:space="preserve"> two </w:t>
      </w:r>
      <w:r w:rsidR="00D164B1" w:rsidRPr="005C6D34">
        <w:rPr>
          <w:rFonts w:cstheme="minorHAnsi"/>
          <w:sz w:val="24"/>
          <w:szCs w:val="24"/>
        </w:rPr>
        <w:t xml:space="preserve">geo-political </w:t>
      </w:r>
      <w:r w:rsidR="00C803D5" w:rsidRPr="005C6D34">
        <w:rPr>
          <w:rFonts w:cstheme="minorHAnsi"/>
          <w:sz w:val="24"/>
          <w:szCs w:val="24"/>
        </w:rPr>
        <w:t>zones, NE and NW,</w:t>
      </w:r>
      <w:r w:rsidR="00F6736C" w:rsidRPr="005C6D34">
        <w:rPr>
          <w:rFonts w:cstheme="minorHAnsi"/>
          <w:sz w:val="24"/>
          <w:szCs w:val="24"/>
        </w:rPr>
        <w:t xml:space="preserve"> with </w:t>
      </w:r>
      <w:r w:rsidR="001B0626" w:rsidRPr="005C6D34">
        <w:rPr>
          <w:rFonts w:cstheme="minorHAnsi"/>
          <w:sz w:val="24"/>
          <w:szCs w:val="24"/>
        </w:rPr>
        <w:t xml:space="preserve">a </w:t>
      </w:r>
      <w:r w:rsidR="00F6736C" w:rsidRPr="005C6D34">
        <w:rPr>
          <w:rFonts w:cstheme="minorHAnsi"/>
          <w:sz w:val="24"/>
          <w:szCs w:val="24"/>
        </w:rPr>
        <w:t>lower share of voter registration than th</w:t>
      </w:r>
      <w:r w:rsidR="00D164B1" w:rsidRPr="005C6D34">
        <w:rPr>
          <w:rFonts w:cstheme="minorHAnsi"/>
          <w:sz w:val="24"/>
          <w:szCs w:val="24"/>
        </w:rPr>
        <w:t xml:space="preserve">eir share of the population </w:t>
      </w:r>
      <w:r w:rsidR="001B0626" w:rsidRPr="005C6D34">
        <w:rPr>
          <w:rFonts w:cstheme="minorHAnsi"/>
          <w:sz w:val="24"/>
          <w:szCs w:val="24"/>
        </w:rPr>
        <w:t>a</w:t>
      </w:r>
      <w:r w:rsidR="00C803D5" w:rsidRPr="005C6D34">
        <w:rPr>
          <w:rFonts w:cstheme="minorHAnsi"/>
          <w:sz w:val="24"/>
          <w:szCs w:val="24"/>
        </w:rPr>
        <w:t xml:space="preserve">ppear to have the highest poverty and deprivation rate in the country. </w:t>
      </w:r>
      <w:r w:rsidR="00856E76" w:rsidRPr="005C6D34">
        <w:rPr>
          <w:rFonts w:cstheme="minorHAnsi"/>
          <w:sz w:val="24"/>
          <w:szCs w:val="24"/>
        </w:rPr>
        <w:t>There are two explanations for the low voter registration</w:t>
      </w:r>
      <w:r w:rsidR="00C3121F" w:rsidRPr="005C6D34">
        <w:rPr>
          <w:rFonts w:cstheme="minorHAnsi"/>
          <w:sz w:val="24"/>
          <w:szCs w:val="24"/>
        </w:rPr>
        <w:t>, a fact and a theory</w:t>
      </w:r>
      <w:r w:rsidR="00856E76" w:rsidRPr="005C6D34">
        <w:rPr>
          <w:rFonts w:cstheme="minorHAnsi"/>
          <w:sz w:val="24"/>
          <w:szCs w:val="24"/>
        </w:rPr>
        <w:t xml:space="preserve">. </w:t>
      </w:r>
      <w:r w:rsidR="00E1636B" w:rsidRPr="005C6D34">
        <w:rPr>
          <w:rFonts w:cstheme="minorHAnsi"/>
          <w:sz w:val="24"/>
          <w:szCs w:val="24"/>
        </w:rPr>
        <w:t>First, the</w:t>
      </w:r>
      <w:r w:rsidR="00C43D33" w:rsidRPr="005C6D34">
        <w:rPr>
          <w:rFonts w:cstheme="minorHAnsi"/>
          <w:sz w:val="24"/>
          <w:szCs w:val="24"/>
        </w:rPr>
        <w:t xml:space="preserve"> low internet connection per head</w:t>
      </w:r>
      <w:r w:rsidR="0096456B" w:rsidRPr="005C6D34">
        <w:rPr>
          <w:rFonts w:cstheme="minorHAnsi"/>
          <w:sz w:val="24"/>
          <w:szCs w:val="24"/>
        </w:rPr>
        <w:t xml:space="preserve">, which can be </w:t>
      </w:r>
      <w:r w:rsidR="00C43D33" w:rsidRPr="005C6D34">
        <w:rPr>
          <w:rFonts w:cstheme="minorHAnsi"/>
          <w:sz w:val="24"/>
          <w:szCs w:val="24"/>
        </w:rPr>
        <w:t xml:space="preserve">due to their high </w:t>
      </w:r>
      <w:r w:rsidR="00A53E05" w:rsidRPr="005C6D34">
        <w:rPr>
          <w:rFonts w:cstheme="minorHAnsi"/>
          <w:sz w:val="24"/>
          <w:szCs w:val="24"/>
        </w:rPr>
        <w:t>population density.</w:t>
      </w:r>
      <w:r w:rsidR="0096456B" w:rsidRPr="005C6D34">
        <w:rPr>
          <w:rFonts w:cstheme="minorHAnsi"/>
          <w:sz w:val="24"/>
          <w:szCs w:val="24"/>
        </w:rPr>
        <w:t xml:space="preserve"> </w:t>
      </w:r>
      <w:r w:rsidR="00A804A4" w:rsidRPr="005C6D34">
        <w:rPr>
          <w:rFonts w:cstheme="minorHAnsi"/>
          <w:sz w:val="24"/>
          <w:szCs w:val="24"/>
        </w:rPr>
        <w:t xml:space="preserve">Our result further confirms a negative relationship between </w:t>
      </w:r>
      <w:r w:rsidR="00A804A4" w:rsidRPr="005C6D34">
        <w:rPr>
          <w:rFonts w:cstheme="minorHAnsi"/>
          <w:sz w:val="24"/>
          <w:szCs w:val="24"/>
        </w:rPr>
        <w:lastRenderedPageBreak/>
        <w:t xml:space="preserve">voter registration and poverty level. Second is the possibility </w:t>
      </w:r>
      <w:r w:rsidR="004C5091" w:rsidRPr="005C6D34">
        <w:rPr>
          <w:rFonts w:cstheme="minorHAnsi"/>
          <w:sz w:val="24"/>
          <w:szCs w:val="24"/>
        </w:rPr>
        <w:t>that the two regions have higher numbers of ineligible voters</w:t>
      </w:r>
      <w:r w:rsidR="004041BA" w:rsidRPr="005C6D34">
        <w:rPr>
          <w:rFonts w:cstheme="minorHAnsi"/>
          <w:sz w:val="24"/>
          <w:szCs w:val="24"/>
        </w:rPr>
        <w:t>, which means they have a population under 18 years of age.</w:t>
      </w:r>
      <w:r w:rsidR="0088781D" w:rsidRPr="005C6D34">
        <w:rPr>
          <w:rFonts w:cstheme="minorHAnsi"/>
          <w:sz w:val="24"/>
          <w:szCs w:val="24"/>
        </w:rPr>
        <w:t xml:space="preserve"> If the second assumption</w:t>
      </w:r>
      <w:r w:rsidR="00C3121F" w:rsidRPr="005C6D34">
        <w:rPr>
          <w:rFonts w:cstheme="minorHAnsi"/>
          <w:sz w:val="24"/>
          <w:szCs w:val="24"/>
        </w:rPr>
        <w:t xml:space="preserve"> is correct, then the NE and NW will continue to have lower </w:t>
      </w:r>
      <w:r w:rsidR="00A45116" w:rsidRPr="005C6D34">
        <w:rPr>
          <w:rFonts w:cstheme="minorHAnsi"/>
          <w:sz w:val="24"/>
          <w:szCs w:val="24"/>
        </w:rPr>
        <w:t>voter registration despite having a high population as the</w:t>
      </w:r>
      <w:r w:rsidR="00B51BFF" w:rsidRPr="005C6D34">
        <w:rPr>
          <w:rFonts w:cstheme="minorHAnsi"/>
          <w:sz w:val="24"/>
          <w:szCs w:val="24"/>
        </w:rPr>
        <w:t xml:space="preserve"> population grows.</w:t>
      </w:r>
    </w:p>
    <w:p w14:paraId="01F481BE" w14:textId="77777777" w:rsidR="00614A02" w:rsidRPr="005C6D34" w:rsidRDefault="00614A02" w:rsidP="00614A02">
      <w:pPr>
        <w:spacing w:line="360" w:lineRule="auto"/>
        <w:jc w:val="both"/>
        <w:rPr>
          <w:rFonts w:cstheme="minorHAnsi"/>
          <w:sz w:val="24"/>
          <w:szCs w:val="24"/>
        </w:rPr>
      </w:pPr>
      <w:r w:rsidRPr="005C6D34">
        <w:rPr>
          <w:rFonts w:cstheme="minorHAnsi"/>
          <w:sz w:val="24"/>
          <w:szCs w:val="24"/>
        </w:rPr>
        <w:t xml:space="preserve">Internet usage has increased over time, which has influenced freedom of speech in the social media sector. Internet connectivity has increased across the country, mostly in the SW. As seen by its actions during the 2020 #endSARS protests, the government has been repressing the free press. Following the protests, Twitter was shut down for seven months, while major media outlets closed and journalists left, reducing the opportunity for open discussion. Security issues are generally not reported or falsely reported due to fear of retaliation by the government. The youths are one of the groups, together with women and the disabled, who have been disenfranchised (INEC, 2020). </w:t>
      </w:r>
    </w:p>
    <w:p w14:paraId="61534845" w14:textId="1D1C256B" w:rsidR="007518CB" w:rsidRPr="005C6D34" w:rsidRDefault="00DC7029" w:rsidP="003B13C6">
      <w:pPr>
        <w:pStyle w:val="ListParagraph"/>
        <w:numPr>
          <w:ilvl w:val="2"/>
          <w:numId w:val="5"/>
        </w:numPr>
        <w:spacing w:after="0" w:line="360" w:lineRule="auto"/>
        <w:rPr>
          <w:rFonts w:cstheme="minorHAnsi"/>
          <w:b/>
          <w:bCs/>
          <w:sz w:val="24"/>
          <w:szCs w:val="24"/>
        </w:rPr>
      </w:pPr>
      <w:r w:rsidRPr="005C6D34">
        <w:rPr>
          <w:rFonts w:cstheme="minorHAnsi"/>
          <w:b/>
          <w:bCs/>
          <w:sz w:val="24"/>
          <w:szCs w:val="24"/>
        </w:rPr>
        <w:t xml:space="preserve">The </w:t>
      </w:r>
      <w:r w:rsidR="009F65C0" w:rsidRPr="005C6D34">
        <w:rPr>
          <w:rFonts w:cstheme="minorHAnsi"/>
          <w:b/>
          <w:bCs/>
          <w:sz w:val="24"/>
          <w:szCs w:val="24"/>
        </w:rPr>
        <w:t>E</w:t>
      </w:r>
      <w:r w:rsidRPr="005C6D34">
        <w:rPr>
          <w:rFonts w:cstheme="minorHAnsi"/>
          <w:b/>
          <w:bCs/>
          <w:sz w:val="24"/>
          <w:szCs w:val="24"/>
        </w:rPr>
        <w:t xml:space="preserve">ffect of the </w:t>
      </w:r>
      <w:r w:rsidR="007518CB" w:rsidRPr="005C6D34">
        <w:rPr>
          <w:rFonts w:cstheme="minorHAnsi"/>
          <w:b/>
          <w:bCs/>
          <w:sz w:val="24"/>
          <w:szCs w:val="24"/>
        </w:rPr>
        <w:t xml:space="preserve"> Electoral Act </w:t>
      </w:r>
      <w:r w:rsidR="00B3375E" w:rsidRPr="005C6D34">
        <w:rPr>
          <w:rFonts w:cstheme="minorHAnsi"/>
          <w:b/>
          <w:bCs/>
          <w:sz w:val="24"/>
          <w:szCs w:val="24"/>
        </w:rPr>
        <w:t>(2022)</w:t>
      </w:r>
      <w:r w:rsidR="00FF0751" w:rsidRPr="005C6D34">
        <w:rPr>
          <w:rFonts w:cstheme="minorHAnsi"/>
          <w:b/>
          <w:bCs/>
          <w:sz w:val="24"/>
          <w:szCs w:val="24"/>
        </w:rPr>
        <w:t xml:space="preserve"> and Social Media</w:t>
      </w:r>
    </w:p>
    <w:p w14:paraId="53087082" w14:textId="31DA41AD" w:rsidR="007518CB" w:rsidRPr="005C6D34" w:rsidRDefault="007518CB" w:rsidP="000A687F">
      <w:pPr>
        <w:spacing w:line="360" w:lineRule="auto"/>
        <w:jc w:val="both"/>
        <w:rPr>
          <w:rFonts w:cstheme="minorHAnsi"/>
          <w:sz w:val="24"/>
          <w:szCs w:val="24"/>
        </w:rPr>
      </w:pPr>
      <w:r w:rsidRPr="005C6D34">
        <w:rPr>
          <w:rFonts w:cstheme="minorHAnsi"/>
          <w:sz w:val="24"/>
          <w:szCs w:val="24"/>
        </w:rPr>
        <w:t xml:space="preserve">The Electoral Act </w:t>
      </w:r>
      <w:r w:rsidR="00B3375E" w:rsidRPr="005C6D34">
        <w:rPr>
          <w:rFonts w:cstheme="minorHAnsi"/>
          <w:sz w:val="24"/>
          <w:szCs w:val="24"/>
        </w:rPr>
        <w:t xml:space="preserve">(2022) </w:t>
      </w:r>
      <w:r w:rsidRPr="005C6D34">
        <w:rPr>
          <w:rFonts w:cstheme="minorHAnsi"/>
          <w:sz w:val="24"/>
          <w:szCs w:val="24"/>
        </w:rPr>
        <w:t>has given hope to voters t</w:t>
      </w:r>
      <w:r w:rsidR="009F65C0" w:rsidRPr="005C6D34">
        <w:rPr>
          <w:rFonts w:cstheme="minorHAnsi"/>
          <w:sz w:val="24"/>
          <w:szCs w:val="24"/>
        </w:rPr>
        <w:t>hat they can</w:t>
      </w:r>
      <w:r w:rsidRPr="005C6D34">
        <w:rPr>
          <w:rFonts w:cstheme="minorHAnsi"/>
          <w:sz w:val="24"/>
          <w:szCs w:val="24"/>
        </w:rPr>
        <w:t xml:space="preserve"> elect c</w:t>
      </w:r>
      <w:r w:rsidR="00B3375E" w:rsidRPr="005C6D34">
        <w:rPr>
          <w:rFonts w:cstheme="minorHAnsi"/>
          <w:sz w:val="24"/>
          <w:szCs w:val="24"/>
        </w:rPr>
        <w:t>and</w:t>
      </w:r>
      <w:r w:rsidRPr="005C6D34">
        <w:rPr>
          <w:rFonts w:cstheme="minorHAnsi"/>
          <w:sz w:val="24"/>
          <w:szCs w:val="24"/>
        </w:rPr>
        <w:t xml:space="preserve">idates </w:t>
      </w:r>
      <w:r w:rsidR="009F65C0" w:rsidRPr="005C6D34">
        <w:rPr>
          <w:rFonts w:cstheme="minorHAnsi"/>
          <w:sz w:val="24"/>
          <w:szCs w:val="24"/>
        </w:rPr>
        <w:t xml:space="preserve">who </w:t>
      </w:r>
      <w:r w:rsidRPr="005C6D34">
        <w:rPr>
          <w:rFonts w:cstheme="minorHAnsi"/>
          <w:sz w:val="24"/>
          <w:szCs w:val="24"/>
        </w:rPr>
        <w:t xml:space="preserve">will represent them at various national </w:t>
      </w:r>
      <w:r w:rsidR="00B3375E" w:rsidRPr="005C6D34">
        <w:rPr>
          <w:rFonts w:cstheme="minorHAnsi"/>
          <w:sz w:val="24"/>
          <w:szCs w:val="24"/>
        </w:rPr>
        <w:t>and</w:t>
      </w:r>
      <w:r w:rsidRPr="005C6D34">
        <w:rPr>
          <w:rFonts w:cstheme="minorHAnsi"/>
          <w:sz w:val="24"/>
          <w:szCs w:val="24"/>
        </w:rPr>
        <w:t xml:space="preserve"> sub</w:t>
      </w:r>
      <w:r w:rsidR="009F65C0" w:rsidRPr="005C6D34">
        <w:rPr>
          <w:rFonts w:cstheme="minorHAnsi"/>
          <w:sz w:val="24"/>
          <w:szCs w:val="24"/>
        </w:rPr>
        <w:t>-</w:t>
      </w:r>
      <w:r w:rsidRPr="005C6D34">
        <w:rPr>
          <w:rFonts w:cstheme="minorHAnsi"/>
          <w:sz w:val="24"/>
          <w:szCs w:val="24"/>
        </w:rPr>
        <w:t xml:space="preserve">national levels. The key point of hope is the approval of </w:t>
      </w:r>
      <w:r w:rsidR="00B3375E" w:rsidRPr="005C6D34">
        <w:rPr>
          <w:rFonts w:cstheme="minorHAnsi"/>
          <w:sz w:val="24"/>
          <w:szCs w:val="24"/>
        </w:rPr>
        <w:t xml:space="preserve">the use of </w:t>
      </w:r>
      <w:r w:rsidRPr="005C6D34">
        <w:rPr>
          <w:rFonts w:cstheme="minorHAnsi"/>
          <w:sz w:val="24"/>
          <w:szCs w:val="24"/>
        </w:rPr>
        <w:t xml:space="preserve">technology </w:t>
      </w:r>
      <w:r w:rsidR="00B3375E" w:rsidRPr="005C6D34">
        <w:rPr>
          <w:rFonts w:cstheme="minorHAnsi"/>
          <w:sz w:val="24"/>
          <w:szCs w:val="24"/>
        </w:rPr>
        <w:t>in</w:t>
      </w:r>
      <w:r w:rsidRPr="005C6D34">
        <w:rPr>
          <w:rFonts w:cstheme="minorHAnsi"/>
          <w:sz w:val="24"/>
          <w:szCs w:val="24"/>
        </w:rPr>
        <w:t xml:space="preserve"> elections. INEC has legal backing </w:t>
      </w:r>
      <w:r w:rsidR="009F65C0" w:rsidRPr="005C6D34">
        <w:rPr>
          <w:rFonts w:cstheme="minorHAnsi"/>
          <w:sz w:val="24"/>
          <w:szCs w:val="24"/>
        </w:rPr>
        <w:t>to use</w:t>
      </w:r>
      <w:r w:rsidRPr="005C6D34">
        <w:rPr>
          <w:rFonts w:cstheme="minorHAnsi"/>
          <w:sz w:val="24"/>
          <w:szCs w:val="24"/>
        </w:rPr>
        <w:t xml:space="preserve"> electronic accreditation of voters</w:t>
      </w:r>
      <w:r w:rsidRPr="005C6D34">
        <w:rPr>
          <w:rStyle w:val="FootnoteReference"/>
          <w:rFonts w:cstheme="minorHAnsi"/>
          <w:sz w:val="24"/>
          <w:szCs w:val="24"/>
        </w:rPr>
        <w:footnoteReference w:id="6"/>
      </w:r>
      <w:r w:rsidRPr="005C6D34">
        <w:rPr>
          <w:rFonts w:cstheme="minorHAnsi"/>
          <w:sz w:val="24"/>
          <w:szCs w:val="24"/>
        </w:rPr>
        <w:t>. The Act has also given legal backing to the electronic transmission of the result during elections. Before the ascent of the Act, in August 2020, INEC introduced the result viewing portal. INEC has the power to maintain a centralised electronic elections register for e</w:t>
      </w:r>
      <w:r w:rsidR="009F65C0" w:rsidRPr="005C6D34">
        <w:rPr>
          <w:rFonts w:cstheme="minorHAnsi"/>
          <w:sz w:val="24"/>
          <w:szCs w:val="24"/>
        </w:rPr>
        <w:t>-</w:t>
      </w:r>
      <w:r w:rsidRPr="005C6D34">
        <w:rPr>
          <w:rFonts w:cstheme="minorHAnsi"/>
          <w:sz w:val="24"/>
          <w:szCs w:val="24"/>
        </w:rPr>
        <w:t>collation</w:t>
      </w:r>
      <w:r w:rsidRPr="005C6D34">
        <w:rPr>
          <w:rStyle w:val="FootnoteReference"/>
          <w:rFonts w:cstheme="minorHAnsi"/>
          <w:sz w:val="24"/>
          <w:szCs w:val="24"/>
        </w:rPr>
        <w:footnoteReference w:id="7"/>
      </w:r>
      <w:r w:rsidRPr="005C6D34">
        <w:rPr>
          <w:rFonts w:cstheme="minorHAnsi"/>
          <w:sz w:val="24"/>
          <w:szCs w:val="24"/>
        </w:rPr>
        <w:t xml:space="preserve">. </w:t>
      </w:r>
    </w:p>
    <w:p w14:paraId="63277D31" w14:textId="24C0C897" w:rsidR="000F7AE8" w:rsidRPr="005C6D34" w:rsidRDefault="007518CB" w:rsidP="00F97268">
      <w:pPr>
        <w:spacing w:line="360" w:lineRule="auto"/>
        <w:jc w:val="both"/>
        <w:rPr>
          <w:rFonts w:cstheme="minorHAnsi"/>
          <w:sz w:val="24"/>
          <w:szCs w:val="24"/>
        </w:rPr>
      </w:pPr>
      <w:r w:rsidRPr="005C6D34">
        <w:rPr>
          <w:rFonts w:cstheme="minorHAnsi"/>
          <w:sz w:val="24"/>
          <w:szCs w:val="24"/>
        </w:rPr>
        <w:t>Voter fraud is challenging for voters</w:t>
      </w:r>
      <w:r w:rsidR="00DC7029" w:rsidRPr="005C6D34">
        <w:rPr>
          <w:rFonts w:cstheme="minorHAnsi"/>
          <w:sz w:val="24"/>
          <w:szCs w:val="24"/>
        </w:rPr>
        <w:t>, but the</w:t>
      </w:r>
      <w:r w:rsidR="00B3375E" w:rsidRPr="005C6D34">
        <w:rPr>
          <w:rFonts w:cstheme="minorHAnsi"/>
          <w:sz w:val="24"/>
          <w:szCs w:val="24"/>
        </w:rPr>
        <w:t xml:space="preserve"> </w:t>
      </w:r>
      <w:r w:rsidR="00DC7029" w:rsidRPr="005C6D34">
        <w:rPr>
          <w:rFonts w:cstheme="minorHAnsi"/>
          <w:sz w:val="24"/>
          <w:szCs w:val="24"/>
        </w:rPr>
        <w:t>E</w:t>
      </w:r>
      <w:r w:rsidRPr="005C6D34">
        <w:rPr>
          <w:rFonts w:cstheme="minorHAnsi"/>
          <w:sz w:val="24"/>
          <w:szCs w:val="24"/>
        </w:rPr>
        <w:t xml:space="preserve">lectoral Act </w:t>
      </w:r>
      <w:r w:rsidR="00B3375E" w:rsidRPr="005C6D34">
        <w:rPr>
          <w:rFonts w:cstheme="minorHAnsi"/>
          <w:sz w:val="24"/>
          <w:szCs w:val="24"/>
        </w:rPr>
        <w:t xml:space="preserve">(2022) </w:t>
      </w:r>
      <w:r w:rsidRPr="005C6D34">
        <w:rPr>
          <w:rFonts w:cstheme="minorHAnsi"/>
          <w:sz w:val="24"/>
          <w:szCs w:val="24"/>
        </w:rPr>
        <w:t>will mobilise voters to vote to elect their c</w:t>
      </w:r>
      <w:r w:rsidR="00B3375E" w:rsidRPr="005C6D34">
        <w:rPr>
          <w:rFonts w:cstheme="minorHAnsi"/>
          <w:sz w:val="24"/>
          <w:szCs w:val="24"/>
        </w:rPr>
        <w:t>and</w:t>
      </w:r>
      <w:r w:rsidRPr="005C6D34">
        <w:rPr>
          <w:rFonts w:cstheme="minorHAnsi"/>
          <w:sz w:val="24"/>
          <w:szCs w:val="24"/>
        </w:rPr>
        <w:t>idate</w:t>
      </w:r>
      <w:r w:rsidR="00DC7029" w:rsidRPr="005C6D34">
        <w:rPr>
          <w:rFonts w:cstheme="minorHAnsi"/>
          <w:sz w:val="24"/>
          <w:szCs w:val="24"/>
        </w:rPr>
        <w:t>s</w:t>
      </w:r>
      <w:r w:rsidRPr="005C6D34">
        <w:rPr>
          <w:rFonts w:cstheme="minorHAnsi"/>
          <w:sz w:val="24"/>
          <w:szCs w:val="24"/>
        </w:rPr>
        <w:t>. The Act</w:t>
      </w:r>
      <w:r w:rsidRPr="005C6D34">
        <w:rPr>
          <w:rStyle w:val="FootnoteReference"/>
          <w:rFonts w:cstheme="minorHAnsi"/>
          <w:sz w:val="24"/>
          <w:szCs w:val="24"/>
        </w:rPr>
        <w:footnoteReference w:id="8"/>
      </w:r>
      <w:r w:rsidRPr="005C6D34">
        <w:rPr>
          <w:rFonts w:cstheme="minorHAnsi"/>
          <w:sz w:val="24"/>
          <w:szCs w:val="24"/>
        </w:rPr>
        <w:t xml:space="preserve"> </w:t>
      </w:r>
      <w:r w:rsidR="009F65C0" w:rsidRPr="005C6D34">
        <w:rPr>
          <w:rFonts w:cstheme="minorHAnsi"/>
          <w:sz w:val="24"/>
          <w:szCs w:val="24"/>
        </w:rPr>
        <w:t>states</w:t>
      </w:r>
      <w:r w:rsidRPr="005C6D34">
        <w:rPr>
          <w:rFonts w:cstheme="minorHAnsi"/>
          <w:sz w:val="24"/>
          <w:szCs w:val="24"/>
        </w:rPr>
        <w:t xml:space="preserve"> that the total number of accredited voters will become a factor in determining over</w:t>
      </w:r>
      <w:r w:rsidR="009F65C0" w:rsidRPr="005C6D34">
        <w:rPr>
          <w:rFonts w:cstheme="minorHAnsi"/>
          <w:sz w:val="24"/>
          <w:szCs w:val="24"/>
        </w:rPr>
        <w:t>-</w:t>
      </w:r>
      <w:r w:rsidRPr="005C6D34">
        <w:rPr>
          <w:rFonts w:cstheme="minorHAnsi"/>
          <w:sz w:val="24"/>
          <w:szCs w:val="24"/>
        </w:rPr>
        <w:t>voting at election tribunals. To ensure that voter disenfranchisement does not continue, the Act</w:t>
      </w:r>
      <w:r w:rsidRPr="005C6D34">
        <w:rPr>
          <w:rStyle w:val="FootnoteReference"/>
          <w:rFonts w:cstheme="minorHAnsi"/>
          <w:sz w:val="24"/>
          <w:szCs w:val="24"/>
        </w:rPr>
        <w:footnoteReference w:id="9"/>
      </w:r>
      <w:r w:rsidRPr="005C6D34">
        <w:rPr>
          <w:rFonts w:cstheme="minorHAnsi"/>
          <w:sz w:val="24"/>
          <w:szCs w:val="24"/>
        </w:rPr>
        <w:t xml:space="preserve"> </w:t>
      </w:r>
      <w:r w:rsidR="009F65C0" w:rsidRPr="005C6D34">
        <w:rPr>
          <w:rFonts w:cstheme="minorHAnsi"/>
          <w:sz w:val="24"/>
          <w:szCs w:val="24"/>
        </w:rPr>
        <w:t xml:space="preserve">states </w:t>
      </w:r>
      <w:r w:rsidRPr="005C6D34">
        <w:rPr>
          <w:rFonts w:cstheme="minorHAnsi"/>
          <w:sz w:val="24"/>
          <w:szCs w:val="24"/>
        </w:rPr>
        <w:t xml:space="preserve">that voters with visual impairment </w:t>
      </w:r>
      <w:r w:rsidR="00B3375E" w:rsidRPr="005C6D34">
        <w:rPr>
          <w:rFonts w:cstheme="minorHAnsi"/>
          <w:sz w:val="24"/>
          <w:szCs w:val="24"/>
        </w:rPr>
        <w:t>and</w:t>
      </w:r>
      <w:r w:rsidRPr="005C6D34">
        <w:rPr>
          <w:rFonts w:cstheme="minorHAnsi"/>
          <w:sz w:val="24"/>
          <w:szCs w:val="24"/>
        </w:rPr>
        <w:t xml:space="preserve"> other forms of disability or incapacitation can choose someone to assist them at the polling unit. The </w:t>
      </w:r>
      <w:r w:rsidRPr="005C6D34">
        <w:rPr>
          <w:rFonts w:cstheme="minorHAnsi"/>
          <w:sz w:val="24"/>
          <w:szCs w:val="24"/>
        </w:rPr>
        <w:lastRenderedPageBreak/>
        <w:t>commission ensures they will provide suitable means of communication such as braille, large embossed print, electronic devices, sign language interpretation or off</w:t>
      </w:r>
      <w:r w:rsidR="00407AF2" w:rsidRPr="005C6D34">
        <w:rPr>
          <w:rFonts w:cstheme="minorHAnsi"/>
          <w:sz w:val="24"/>
          <w:szCs w:val="24"/>
        </w:rPr>
        <w:t>–</w:t>
      </w:r>
      <w:r w:rsidRPr="005C6D34">
        <w:rPr>
          <w:rFonts w:cstheme="minorHAnsi"/>
          <w:sz w:val="24"/>
          <w:szCs w:val="24"/>
        </w:rPr>
        <w:t>si</w:t>
      </w:r>
      <w:r w:rsidR="00DC7029" w:rsidRPr="005C6D34">
        <w:rPr>
          <w:rFonts w:cstheme="minorHAnsi"/>
          <w:sz w:val="24"/>
          <w:szCs w:val="24"/>
        </w:rPr>
        <w:t>te voting in appropriate cases.</w:t>
      </w:r>
    </w:p>
    <w:p w14:paraId="4E27BB25" w14:textId="3560266F" w:rsidR="4FA106B2" w:rsidRPr="005C6D34" w:rsidRDefault="4FA106B2" w:rsidP="003F2C61">
      <w:pPr>
        <w:pStyle w:val="ListParagraph"/>
        <w:numPr>
          <w:ilvl w:val="1"/>
          <w:numId w:val="5"/>
        </w:numPr>
        <w:spacing w:after="0" w:line="360" w:lineRule="auto"/>
        <w:rPr>
          <w:rFonts w:cstheme="minorHAnsi"/>
          <w:sz w:val="24"/>
          <w:szCs w:val="24"/>
        </w:rPr>
      </w:pPr>
      <w:r w:rsidRPr="005C6D34">
        <w:rPr>
          <w:rFonts w:eastAsia="Georgia" w:cstheme="minorHAnsi"/>
          <w:b/>
          <w:bCs/>
          <w:sz w:val="24"/>
          <w:szCs w:val="24"/>
        </w:rPr>
        <w:t xml:space="preserve">Evidence from </w:t>
      </w:r>
      <w:r w:rsidR="009F65C0" w:rsidRPr="005C6D34">
        <w:rPr>
          <w:rFonts w:eastAsia="Georgia" w:cstheme="minorHAnsi"/>
          <w:b/>
          <w:bCs/>
          <w:sz w:val="24"/>
          <w:szCs w:val="24"/>
        </w:rPr>
        <w:t>O</w:t>
      </w:r>
      <w:r w:rsidRPr="005C6D34">
        <w:rPr>
          <w:rFonts w:eastAsia="Georgia" w:cstheme="minorHAnsi"/>
          <w:b/>
          <w:bCs/>
          <w:sz w:val="24"/>
          <w:szCs w:val="24"/>
        </w:rPr>
        <w:t>ff</w:t>
      </w:r>
      <w:r w:rsidR="00407AF2" w:rsidRPr="005C6D34">
        <w:rPr>
          <w:rFonts w:eastAsia="Georgia" w:cstheme="minorHAnsi"/>
          <w:b/>
          <w:bCs/>
          <w:sz w:val="24"/>
          <w:szCs w:val="24"/>
        </w:rPr>
        <w:t>–</w:t>
      </w:r>
      <w:r w:rsidR="009F65C0" w:rsidRPr="005C6D34">
        <w:rPr>
          <w:rFonts w:eastAsia="Georgia" w:cstheme="minorHAnsi"/>
          <w:b/>
          <w:bCs/>
          <w:sz w:val="24"/>
          <w:szCs w:val="24"/>
        </w:rPr>
        <w:t>C</w:t>
      </w:r>
      <w:r w:rsidRPr="005C6D34">
        <w:rPr>
          <w:rFonts w:eastAsia="Georgia" w:cstheme="minorHAnsi"/>
          <w:b/>
          <w:bCs/>
          <w:sz w:val="24"/>
          <w:szCs w:val="24"/>
        </w:rPr>
        <w:t xml:space="preserve">ycle </w:t>
      </w:r>
      <w:r w:rsidR="009F65C0" w:rsidRPr="005C6D34">
        <w:rPr>
          <w:rFonts w:eastAsia="Georgia" w:cstheme="minorHAnsi"/>
          <w:b/>
          <w:bCs/>
          <w:sz w:val="24"/>
          <w:szCs w:val="24"/>
        </w:rPr>
        <w:t>E</w:t>
      </w:r>
      <w:r w:rsidRPr="005C6D34">
        <w:rPr>
          <w:rFonts w:eastAsia="Georgia" w:cstheme="minorHAnsi"/>
          <w:b/>
          <w:bCs/>
          <w:sz w:val="24"/>
          <w:szCs w:val="24"/>
        </w:rPr>
        <w:t xml:space="preserve">lections: Anambra, Osun </w:t>
      </w:r>
      <w:r w:rsidR="00B3375E" w:rsidRPr="005C6D34">
        <w:rPr>
          <w:rFonts w:eastAsia="Georgia" w:cstheme="minorHAnsi"/>
          <w:b/>
          <w:bCs/>
          <w:sz w:val="24"/>
          <w:szCs w:val="24"/>
        </w:rPr>
        <w:t>and</w:t>
      </w:r>
      <w:r w:rsidRPr="005C6D34">
        <w:rPr>
          <w:rFonts w:eastAsia="Georgia" w:cstheme="minorHAnsi"/>
          <w:b/>
          <w:bCs/>
          <w:sz w:val="24"/>
          <w:szCs w:val="24"/>
        </w:rPr>
        <w:t xml:space="preserve"> Ekiti </w:t>
      </w:r>
      <w:r w:rsidR="009F65C0" w:rsidRPr="005C6D34">
        <w:rPr>
          <w:rFonts w:eastAsia="Georgia" w:cstheme="minorHAnsi"/>
          <w:b/>
          <w:bCs/>
          <w:sz w:val="24"/>
          <w:szCs w:val="24"/>
        </w:rPr>
        <w:t>G</w:t>
      </w:r>
      <w:r w:rsidRPr="005C6D34">
        <w:rPr>
          <w:rFonts w:eastAsia="Georgia" w:cstheme="minorHAnsi"/>
          <w:b/>
          <w:bCs/>
          <w:sz w:val="24"/>
          <w:szCs w:val="24"/>
        </w:rPr>
        <w:t xml:space="preserve">ubernatorial </w:t>
      </w:r>
      <w:r w:rsidR="009F65C0" w:rsidRPr="005C6D34">
        <w:rPr>
          <w:rFonts w:eastAsia="Georgia" w:cstheme="minorHAnsi"/>
          <w:b/>
          <w:bCs/>
          <w:sz w:val="24"/>
          <w:szCs w:val="24"/>
        </w:rPr>
        <w:t>P</w:t>
      </w:r>
      <w:r w:rsidRPr="005C6D34">
        <w:rPr>
          <w:rFonts w:eastAsia="Georgia" w:cstheme="minorHAnsi"/>
          <w:b/>
          <w:bCs/>
          <w:sz w:val="24"/>
          <w:szCs w:val="24"/>
        </w:rPr>
        <w:t>olls</w:t>
      </w:r>
    </w:p>
    <w:p w14:paraId="541D3322" w14:textId="26B66715" w:rsidR="4FA106B2" w:rsidRPr="005C6D34" w:rsidRDefault="4FA106B2" w:rsidP="000A687F">
      <w:pPr>
        <w:spacing w:line="360" w:lineRule="auto"/>
        <w:jc w:val="both"/>
        <w:rPr>
          <w:rFonts w:cstheme="minorHAnsi"/>
          <w:sz w:val="24"/>
          <w:szCs w:val="24"/>
        </w:rPr>
      </w:pPr>
      <w:r w:rsidRPr="005C6D34">
        <w:rPr>
          <w:rFonts w:eastAsia="Georgia" w:cstheme="minorHAnsi"/>
          <w:sz w:val="24"/>
          <w:szCs w:val="24"/>
        </w:rPr>
        <w:t>Our results point to strong mobili</w:t>
      </w:r>
      <w:r w:rsidR="00721E6B" w:rsidRPr="005C6D34">
        <w:rPr>
          <w:rFonts w:eastAsia="Georgia" w:cstheme="minorHAnsi"/>
          <w:sz w:val="24"/>
          <w:szCs w:val="24"/>
        </w:rPr>
        <w:t>s</w:t>
      </w:r>
      <w:r w:rsidRPr="005C6D34">
        <w:rPr>
          <w:rFonts w:eastAsia="Georgia" w:cstheme="minorHAnsi"/>
          <w:sz w:val="24"/>
          <w:szCs w:val="24"/>
        </w:rPr>
        <w:t xml:space="preserve">ing effects of social media </w:t>
      </w:r>
      <w:r w:rsidR="00F85EAF" w:rsidRPr="005C6D34">
        <w:rPr>
          <w:rFonts w:eastAsia="Georgia" w:cstheme="minorHAnsi"/>
          <w:sz w:val="24"/>
          <w:szCs w:val="24"/>
        </w:rPr>
        <w:t>usage</w:t>
      </w:r>
      <w:r w:rsidRPr="005C6D34">
        <w:rPr>
          <w:rFonts w:eastAsia="Georgia" w:cstheme="minorHAnsi"/>
          <w:sz w:val="24"/>
          <w:szCs w:val="24"/>
        </w:rPr>
        <w:t xml:space="preserve"> </w:t>
      </w:r>
      <w:r w:rsidR="00B3375E" w:rsidRPr="005C6D34">
        <w:rPr>
          <w:rFonts w:eastAsia="Georgia" w:cstheme="minorHAnsi"/>
          <w:sz w:val="24"/>
          <w:szCs w:val="24"/>
        </w:rPr>
        <w:t>and</w:t>
      </w:r>
      <w:r w:rsidRPr="005C6D34">
        <w:rPr>
          <w:rFonts w:eastAsia="Georgia" w:cstheme="minorHAnsi"/>
          <w:sz w:val="24"/>
          <w:szCs w:val="24"/>
        </w:rPr>
        <w:t xml:space="preserve"> </w:t>
      </w:r>
      <w:r w:rsidR="009F65C0" w:rsidRPr="005C6D34">
        <w:rPr>
          <w:rFonts w:eastAsia="Georgia" w:cstheme="minorHAnsi"/>
          <w:sz w:val="24"/>
          <w:szCs w:val="24"/>
        </w:rPr>
        <w:t>socio-economic factors</w:t>
      </w:r>
      <w:r w:rsidRPr="005C6D34">
        <w:rPr>
          <w:rFonts w:eastAsia="Georgia" w:cstheme="minorHAnsi"/>
          <w:sz w:val="24"/>
          <w:szCs w:val="24"/>
        </w:rPr>
        <w:t xml:space="preserve"> on voter behavio</w:t>
      </w:r>
      <w:r w:rsidR="003B252B" w:rsidRPr="005C6D34">
        <w:rPr>
          <w:rFonts w:eastAsia="Georgia" w:cstheme="minorHAnsi"/>
          <w:sz w:val="24"/>
          <w:szCs w:val="24"/>
        </w:rPr>
        <w:t>u</w:t>
      </w:r>
      <w:r w:rsidRPr="005C6D34">
        <w:rPr>
          <w:rFonts w:eastAsia="Georgia" w:cstheme="minorHAnsi"/>
          <w:sz w:val="24"/>
          <w:szCs w:val="24"/>
        </w:rPr>
        <w:t>r. Our main findings remain consistent</w:t>
      </w:r>
      <w:r w:rsidR="003B252B" w:rsidRPr="005C6D34">
        <w:rPr>
          <w:rFonts w:eastAsia="Georgia" w:cstheme="minorHAnsi"/>
          <w:sz w:val="24"/>
          <w:szCs w:val="24"/>
        </w:rPr>
        <w:t>,</w:t>
      </w:r>
      <w:r w:rsidRPr="005C6D34">
        <w:rPr>
          <w:rFonts w:eastAsia="Georgia" w:cstheme="minorHAnsi"/>
          <w:sz w:val="24"/>
          <w:szCs w:val="24"/>
        </w:rPr>
        <w:t xml:space="preserve"> as seen in our three case stud</w:t>
      </w:r>
      <w:r w:rsidR="00A95C91" w:rsidRPr="005C6D34">
        <w:rPr>
          <w:rFonts w:eastAsia="Georgia" w:cstheme="minorHAnsi"/>
          <w:sz w:val="24"/>
          <w:szCs w:val="24"/>
        </w:rPr>
        <w:t>y off</w:t>
      </w:r>
      <w:r w:rsidR="00B3375E" w:rsidRPr="005C6D34">
        <w:rPr>
          <w:rFonts w:eastAsia="Georgia" w:cstheme="minorHAnsi"/>
          <w:sz w:val="24"/>
          <w:szCs w:val="24"/>
        </w:rPr>
        <w:t>-</w:t>
      </w:r>
      <w:r w:rsidR="00A95C91" w:rsidRPr="005C6D34">
        <w:rPr>
          <w:rFonts w:eastAsia="Georgia" w:cstheme="minorHAnsi"/>
          <w:sz w:val="24"/>
          <w:szCs w:val="24"/>
        </w:rPr>
        <w:t>cycle elections</w:t>
      </w:r>
      <w:r w:rsidR="00A95C91" w:rsidRPr="005C6D34" w:rsidDel="00A95C91">
        <w:rPr>
          <w:rFonts w:eastAsia="Georgia" w:cstheme="minorHAnsi"/>
          <w:sz w:val="24"/>
          <w:szCs w:val="24"/>
        </w:rPr>
        <w:t xml:space="preserve"> </w:t>
      </w:r>
      <w:r w:rsidR="009F65C0" w:rsidRPr="005C6D34">
        <w:rPr>
          <w:rFonts w:eastAsia="Georgia" w:cstheme="minorHAnsi"/>
          <w:sz w:val="24"/>
          <w:szCs w:val="24"/>
        </w:rPr>
        <w:t>–</w:t>
      </w:r>
      <w:r w:rsidRPr="005C6D34">
        <w:rPr>
          <w:rFonts w:eastAsia="Georgia" w:cstheme="minorHAnsi"/>
          <w:sz w:val="24"/>
          <w:szCs w:val="24"/>
        </w:rPr>
        <w:t xml:space="preserve"> Anambra (2021), Osun (2022)</w:t>
      </w:r>
      <w:r w:rsidR="00B3375E" w:rsidRPr="005C6D34">
        <w:rPr>
          <w:rFonts w:eastAsia="Georgia" w:cstheme="minorHAnsi"/>
          <w:sz w:val="24"/>
          <w:szCs w:val="24"/>
        </w:rPr>
        <w:t xml:space="preserve"> and</w:t>
      </w:r>
      <w:r w:rsidRPr="005C6D34">
        <w:rPr>
          <w:rFonts w:eastAsia="Georgia" w:cstheme="minorHAnsi"/>
          <w:sz w:val="24"/>
          <w:szCs w:val="24"/>
        </w:rPr>
        <w:t xml:space="preserve"> Ekiti (2022). Even though they showed consistencies, we observed countrywide variations in the behavio</w:t>
      </w:r>
      <w:r w:rsidR="003B252B" w:rsidRPr="005C6D34">
        <w:rPr>
          <w:rFonts w:eastAsia="Georgia" w:cstheme="minorHAnsi"/>
          <w:sz w:val="24"/>
          <w:szCs w:val="24"/>
        </w:rPr>
        <w:t>u</w:t>
      </w:r>
      <w:r w:rsidRPr="005C6D34">
        <w:rPr>
          <w:rFonts w:eastAsia="Georgia" w:cstheme="minorHAnsi"/>
          <w:sz w:val="24"/>
          <w:szCs w:val="24"/>
        </w:rPr>
        <w:t>r of these variables.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675"/>
      </w:tblGrid>
      <w:tr w:rsidR="00621F35" w:rsidRPr="005C6D34" w14:paraId="071706E0" w14:textId="77777777" w:rsidTr="00621F35">
        <w:tc>
          <w:tcPr>
            <w:tcW w:w="4836" w:type="dxa"/>
          </w:tcPr>
          <w:p w14:paraId="3A1106C1" w14:textId="55A36FF2" w:rsidR="00621F35" w:rsidRPr="005C6D34" w:rsidRDefault="00621F35" w:rsidP="00621F35">
            <w:pPr>
              <w:keepNext/>
              <w:spacing w:line="360" w:lineRule="auto"/>
              <w:jc w:val="both"/>
              <w:rPr>
                <w:rFonts w:cstheme="minorHAnsi"/>
                <w:sz w:val="24"/>
                <w:szCs w:val="24"/>
              </w:rPr>
            </w:pPr>
            <w:r w:rsidRPr="005C6D34">
              <w:rPr>
                <w:noProof/>
                <w:lang w:val="en-US"/>
              </w:rPr>
              <w:drawing>
                <wp:inline distT="0" distB="0" distL="0" distR="0" wp14:anchorId="7A0A8CC6" wp14:editId="0B626623">
                  <wp:extent cx="2933700" cy="2025650"/>
                  <wp:effectExtent l="0" t="0" r="0" b="12700"/>
                  <wp:docPr id="1" name="Chart 1">
                    <a:extLst xmlns:a="http://schemas.openxmlformats.org/drawingml/2006/main">
                      <a:ext uri="{FF2B5EF4-FFF2-40B4-BE49-F238E27FC236}">
                        <a16:creationId xmlns:a16="http://schemas.microsoft.com/office/drawing/2014/main" id="{17ABB99C-280F-43F4-B4AD-4782903B57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FF2989E" w14:textId="0A3DAD27" w:rsidR="00621F35" w:rsidRPr="005C6D34" w:rsidRDefault="00621F35" w:rsidP="00621F35">
            <w:pPr>
              <w:pStyle w:val="Caption"/>
              <w:spacing w:line="360" w:lineRule="auto"/>
              <w:jc w:val="both"/>
              <w:rPr>
                <w:rFonts w:eastAsia="Georgia" w:cstheme="minorHAnsi"/>
                <w:sz w:val="24"/>
                <w:szCs w:val="24"/>
              </w:rPr>
            </w:pPr>
            <w:r w:rsidRPr="005C6D34">
              <w:rPr>
                <w:rFonts w:cstheme="minorHAnsi"/>
                <w:sz w:val="24"/>
                <w:szCs w:val="24"/>
              </w:rPr>
              <w:t xml:space="preserve">Figure </w:t>
            </w:r>
            <w:r w:rsidRPr="005C6D34">
              <w:rPr>
                <w:rFonts w:cstheme="minorHAnsi"/>
                <w:sz w:val="24"/>
                <w:szCs w:val="24"/>
              </w:rPr>
              <w:fldChar w:fldCharType="begin"/>
            </w:r>
            <w:r w:rsidRPr="005C6D34">
              <w:rPr>
                <w:rFonts w:cstheme="minorHAnsi"/>
                <w:sz w:val="24"/>
                <w:szCs w:val="24"/>
              </w:rPr>
              <w:instrText xml:space="preserve"> SEQ Figure \* ARABIC </w:instrText>
            </w:r>
            <w:r w:rsidRPr="005C6D34">
              <w:rPr>
                <w:rFonts w:cstheme="minorHAnsi"/>
                <w:sz w:val="24"/>
                <w:szCs w:val="24"/>
              </w:rPr>
              <w:fldChar w:fldCharType="separate"/>
            </w:r>
            <w:r w:rsidRPr="005C6D34">
              <w:rPr>
                <w:rFonts w:cstheme="minorHAnsi"/>
                <w:noProof/>
                <w:sz w:val="24"/>
                <w:szCs w:val="24"/>
              </w:rPr>
              <w:t>6</w:t>
            </w:r>
            <w:r w:rsidRPr="005C6D34">
              <w:rPr>
                <w:rFonts w:cstheme="minorHAnsi"/>
                <w:sz w:val="24"/>
                <w:szCs w:val="24"/>
              </w:rPr>
              <w:fldChar w:fldCharType="end"/>
            </w:r>
            <w:r w:rsidRPr="005C6D34">
              <w:rPr>
                <w:rFonts w:cstheme="minorHAnsi"/>
                <w:sz w:val="24"/>
                <w:szCs w:val="24"/>
              </w:rPr>
              <w:t xml:space="preserve"> Voter Turnout for Off-Cycle Elections</w:t>
            </w:r>
          </w:p>
        </w:tc>
        <w:tc>
          <w:tcPr>
            <w:tcW w:w="4675" w:type="dxa"/>
          </w:tcPr>
          <w:p w14:paraId="3C574976" w14:textId="77777777" w:rsidR="00621F35" w:rsidRPr="005C6D34" w:rsidRDefault="00621F35" w:rsidP="00621F35">
            <w:pPr>
              <w:keepNext/>
              <w:spacing w:line="360" w:lineRule="auto"/>
              <w:jc w:val="both"/>
              <w:rPr>
                <w:rFonts w:cstheme="minorHAnsi"/>
                <w:sz w:val="24"/>
                <w:szCs w:val="24"/>
              </w:rPr>
            </w:pPr>
            <w:r w:rsidRPr="005C6D34">
              <w:rPr>
                <w:rFonts w:cstheme="minorHAnsi"/>
                <w:noProof/>
                <w:sz w:val="24"/>
                <w:szCs w:val="24"/>
                <w:lang w:val="en-US"/>
              </w:rPr>
              <w:drawing>
                <wp:inline distT="0" distB="0" distL="0" distR="0" wp14:anchorId="434D47EA" wp14:editId="06CCA212">
                  <wp:extent cx="2727960" cy="2034540"/>
                  <wp:effectExtent l="0" t="0" r="15240" b="3810"/>
                  <wp:docPr id="12" name="Chart 12">
                    <a:extLst xmlns:a="http://schemas.openxmlformats.org/drawingml/2006/main">
                      <a:ext uri="{FF2B5EF4-FFF2-40B4-BE49-F238E27FC236}">
                        <a16:creationId xmlns:a16="http://schemas.microsoft.com/office/drawing/2014/main" id="{BA49ECBA-536A-4F09-AEA7-8437B4E073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8D5A491" w14:textId="0761268D" w:rsidR="00621F35" w:rsidRPr="005C6D34" w:rsidRDefault="00621F35" w:rsidP="00621F35">
            <w:pPr>
              <w:pStyle w:val="Caption"/>
              <w:spacing w:line="360" w:lineRule="auto"/>
              <w:jc w:val="both"/>
              <w:rPr>
                <w:rFonts w:eastAsia="Georgia" w:cstheme="minorHAnsi"/>
                <w:sz w:val="24"/>
                <w:szCs w:val="24"/>
              </w:rPr>
            </w:pPr>
            <w:r w:rsidRPr="005C6D34">
              <w:rPr>
                <w:rFonts w:cstheme="minorHAnsi"/>
                <w:sz w:val="24"/>
                <w:szCs w:val="24"/>
              </w:rPr>
              <w:t xml:space="preserve">Figure </w:t>
            </w:r>
            <w:r w:rsidRPr="005C6D34">
              <w:rPr>
                <w:rFonts w:cstheme="minorHAnsi"/>
                <w:sz w:val="24"/>
                <w:szCs w:val="24"/>
              </w:rPr>
              <w:fldChar w:fldCharType="begin"/>
            </w:r>
            <w:r w:rsidRPr="005C6D34">
              <w:rPr>
                <w:rFonts w:cstheme="minorHAnsi"/>
                <w:sz w:val="24"/>
                <w:szCs w:val="24"/>
              </w:rPr>
              <w:instrText xml:space="preserve"> SEQ Figure \* ARABIC </w:instrText>
            </w:r>
            <w:r w:rsidRPr="005C6D34">
              <w:rPr>
                <w:rFonts w:cstheme="minorHAnsi"/>
                <w:sz w:val="24"/>
                <w:szCs w:val="24"/>
              </w:rPr>
              <w:fldChar w:fldCharType="separate"/>
            </w:r>
            <w:r w:rsidRPr="005C6D34">
              <w:rPr>
                <w:rFonts w:cstheme="minorHAnsi"/>
                <w:noProof/>
                <w:sz w:val="24"/>
                <w:szCs w:val="24"/>
              </w:rPr>
              <w:t>7</w:t>
            </w:r>
            <w:r w:rsidRPr="005C6D34">
              <w:rPr>
                <w:rFonts w:cstheme="minorHAnsi"/>
                <w:sz w:val="24"/>
                <w:szCs w:val="24"/>
              </w:rPr>
              <w:fldChar w:fldCharType="end"/>
            </w:r>
            <w:r w:rsidRPr="005C6D34">
              <w:rPr>
                <w:rFonts w:cstheme="minorHAnsi"/>
                <w:sz w:val="24"/>
                <w:szCs w:val="24"/>
              </w:rPr>
              <w:t xml:space="preserve"> Winning Percentage during the Off-Cycle Elections</w:t>
            </w:r>
          </w:p>
        </w:tc>
      </w:tr>
    </w:tbl>
    <w:p w14:paraId="7FD9CFDE" w14:textId="287AF776" w:rsidR="00B776FA" w:rsidRPr="005C6D34" w:rsidRDefault="000A3723" w:rsidP="000A687F">
      <w:pPr>
        <w:spacing w:line="360" w:lineRule="auto"/>
        <w:jc w:val="both"/>
        <w:rPr>
          <w:rFonts w:eastAsia="Georgia" w:cstheme="minorHAnsi"/>
          <w:sz w:val="24"/>
          <w:szCs w:val="24"/>
        </w:rPr>
      </w:pPr>
      <w:r w:rsidRPr="005C6D34">
        <w:rPr>
          <w:rFonts w:eastAsia="Georgia" w:cstheme="minorHAnsi"/>
          <w:sz w:val="24"/>
          <w:szCs w:val="24"/>
        </w:rPr>
        <w:t>Tables 7</w:t>
      </w:r>
      <w:r w:rsidR="00621F35" w:rsidRPr="005C6D34">
        <w:rPr>
          <w:rFonts w:eastAsia="Georgia" w:cstheme="minorHAnsi"/>
          <w:sz w:val="24"/>
          <w:szCs w:val="24"/>
        </w:rPr>
        <w:t xml:space="preserve"> and 8</w:t>
      </w:r>
      <w:r w:rsidRPr="005C6D34">
        <w:rPr>
          <w:rFonts w:eastAsia="Georgia" w:cstheme="minorHAnsi"/>
          <w:sz w:val="24"/>
          <w:szCs w:val="24"/>
        </w:rPr>
        <w:t xml:space="preserve"> show the </w:t>
      </w:r>
      <w:r w:rsidR="00184D9E" w:rsidRPr="005C6D34">
        <w:rPr>
          <w:rFonts w:eastAsia="Georgia" w:cstheme="minorHAnsi"/>
          <w:sz w:val="24"/>
          <w:szCs w:val="24"/>
        </w:rPr>
        <w:t>voting responses during the off</w:t>
      </w:r>
      <w:r w:rsidR="00A95C91" w:rsidRPr="005C6D34">
        <w:rPr>
          <w:rFonts w:eastAsia="Georgia" w:cstheme="minorHAnsi"/>
          <w:sz w:val="24"/>
          <w:szCs w:val="24"/>
        </w:rPr>
        <w:t>-</w:t>
      </w:r>
      <w:r w:rsidR="00184D9E" w:rsidRPr="005C6D34">
        <w:rPr>
          <w:rFonts w:eastAsia="Georgia" w:cstheme="minorHAnsi"/>
          <w:sz w:val="24"/>
          <w:szCs w:val="24"/>
        </w:rPr>
        <w:t>cycle elections during three different periods</w:t>
      </w:r>
      <w:r w:rsidR="00915554" w:rsidRPr="005C6D34">
        <w:rPr>
          <w:rFonts w:eastAsia="Georgia" w:cstheme="minorHAnsi"/>
          <w:sz w:val="24"/>
          <w:szCs w:val="24"/>
        </w:rPr>
        <w:t xml:space="preserve"> in three different states across two</w:t>
      </w:r>
      <w:r w:rsidR="00D7077D" w:rsidRPr="005C6D34">
        <w:rPr>
          <w:rFonts w:eastAsia="Georgia" w:cstheme="minorHAnsi"/>
          <w:sz w:val="24"/>
          <w:szCs w:val="24"/>
        </w:rPr>
        <w:t xml:space="preserve"> </w:t>
      </w:r>
      <w:r w:rsidR="00C22800" w:rsidRPr="005C6D34">
        <w:rPr>
          <w:rFonts w:cstheme="minorHAnsi"/>
          <w:sz w:val="24"/>
          <w:szCs w:val="24"/>
        </w:rPr>
        <w:t>geo-political zone</w:t>
      </w:r>
      <w:r w:rsidR="00915554" w:rsidRPr="005C6D34">
        <w:rPr>
          <w:rFonts w:eastAsia="Georgia" w:cstheme="minorHAnsi"/>
          <w:sz w:val="24"/>
          <w:szCs w:val="24"/>
        </w:rPr>
        <w:t xml:space="preserve">s. </w:t>
      </w:r>
      <w:r w:rsidR="4FA106B2" w:rsidRPr="005C6D34">
        <w:rPr>
          <w:rFonts w:eastAsia="Georgia" w:cstheme="minorHAnsi"/>
          <w:sz w:val="24"/>
          <w:szCs w:val="24"/>
        </w:rPr>
        <w:t xml:space="preserve">The turnout, vote distribution </w:t>
      </w:r>
      <w:r w:rsidR="00B3375E" w:rsidRPr="005C6D34">
        <w:rPr>
          <w:rFonts w:eastAsia="Georgia" w:cstheme="minorHAnsi"/>
          <w:sz w:val="24"/>
          <w:szCs w:val="24"/>
        </w:rPr>
        <w:t>and</w:t>
      </w:r>
      <w:r w:rsidR="4FA106B2" w:rsidRPr="005C6D34">
        <w:rPr>
          <w:rFonts w:eastAsia="Georgia" w:cstheme="minorHAnsi"/>
          <w:sz w:val="24"/>
          <w:szCs w:val="24"/>
        </w:rPr>
        <w:t xml:space="preserve"> results in these states reflect some interesting details. First, the mixed influence of </w:t>
      </w:r>
      <w:r w:rsidR="00877479" w:rsidRPr="005C6D34">
        <w:rPr>
          <w:rFonts w:eastAsia="Georgia" w:cstheme="minorHAnsi"/>
          <w:sz w:val="24"/>
          <w:szCs w:val="24"/>
        </w:rPr>
        <w:t>socio</w:t>
      </w:r>
      <w:r w:rsidR="00A95C91" w:rsidRPr="005C6D34">
        <w:rPr>
          <w:rFonts w:eastAsia="Georgia" w:cstheme="minorHAnsi"/>
          <w:sz w:val="24"/>
          <w:szCs w:val="24"/>
        </w:rPr>
        <w:t>-</w:t>
      </w:r>
      <w:r w:rsidR="00877479" w:rsidRPr="005C6D34">
        <w:rPr>
          <w:rFonts w:eastAsia="Georgia" w:cstheme="minorHAnsi"/>
          <w:sz w:val="24"/>
          <w:szCs w:val="24"/>
        </w:rPr>
        <w:t xml:space="preserve">economic factors </w:t>
      </w:r>
      <w:r w:rsidR="4FA106B2" w:rsidRPr="005C6D34">
        <w:rPr>
          <w:rFonts w:eastAsia="Georgia" w:cstheme="minorHAnsi"/>
          <w:sz w:val="24"/>
          <w:szCs w:val="24"/>
        </w:rPr>
        <w:t>on voter turnouts in Nigeria</w:t>
      </w:r>
      <w:r w:rsidR="00D64B67" w:rsidRPr="005C6D34">
        <w:rPr>
          <w:rFonts w:eastAsia="Georgia" w:cstheme="minorHAnsi"/>
          <w:sz w:val="24"/>
          <w:szCs w:val="24"/>
        </w:rPr>
        <w:t xml:space="preserve"> in </w:t>
      </w:r>
      <w:r w:rsidR="00BF2511" w:rsidRPr="005C6D34">
        <w:rPr>
          <w:rFonts w:eastAsia="Georgia" w:cstheme="minorHAnsi"/>
          <w:sz w:val="24"/>
          <w:szCs w:val="24"/>
        </w:rPr>
        <w:t>Figure</w:t>
      </w:r>
      <w:r w:rsidR="00D64B67" w:rsidRPr="005C6D34">
        <w:rPr>
          <w:rFonts w:eastAsia="Georgia" w:cstheme="minorHAnsi"/>
          <w:sz w:val="24"/>
          <w:szCs w:val="24"/>
        </w:rPr>
        <w:t xml:space="preserve"> </w:t>
      </w:r>
      <w:r w:rsidR="00452D80" w:rsidRPr="005C6D34">
        <w:rPr>
          <w:rFonts w:eastAsia="Georgia" w:cstheme="minorHAnsi"/>
          <w:sz w:val="24"/>
          <w:szCs w:val="24"/>
        </w:rPr>
        <w:t>6</w:t>
      </w:r>
      <w:r w:rsidR="4FA106B2" w:rsidRPr="005C6D34">
        <w:rPr>
          <w:rFonts w:eastAsia="Georgia" w:cstheme="minorHAnsi"/>
          <w:sz w:val="24"/>
          <w:szCs w:val="24"/>
        </w:rPr>
        <w:t>. Anambra gubernatorial elections have manifested declining turnouts since 2013</w:t>
      </w:r>
      <w:r w:rsidR="00322B40" w:rsidRPr="005C6D34">
        <w:rPr>
          <w:rFonts w:eastAsia="Georgia" w:cstheme="minorHAnsi"/>
          <w:sz w:val="24"/>
          <w:szCs w:val="24"/>
        </w:rPr>
        <w:t xml:space="preserve">. The voter turnout showed </w:t>
      </w:r>
      <w:r w:rsidR="00C73B24" w:rsidRPr="005C6D34">
        <w:rPr>
          <w:rFonts w:eastAsia="Georgia" w:cstheme="minorHAnsi"/>
          <w:sz w:val="24"/>
          <w:szCs w:val="24"/>
        </w:rPr>
        <w:t>an</w:t>
      </w:r>
      <w:r w:rsidR="00322B40" w:rsidRPr="005C6D34">
        <w:rPr>
          <w:rFonts w:eastAsia="Georgia" w:cstheme="minorHAnsi"/>
          <w:sz w:val="24"/>
          <w:szCs w:val="24"/>
        </w:rPr>
        <w:t xml:space="preserve"> </w:t>
      </w:r>
      <w:r w:rsidR="003A15E9" w:rsidRPr="005C6D34">
        <w:rPr>
          <w:rFonts w:eastAsia="Georgia" w:cstheme="minorHAnsi"/>
          <w:sz w:val="24"/>
          <w:szCs w:val="24"/>
        </w:rPr>
        <w:t>inverse</w:t>
      </w:r>
      <w:r w:rsidR="00C73B24" w:rsidRPr="005C6D34">
        <w:rPr>
          <w:rFonts w:eastAsia="Georgia" w:cstheme="minorHAnsi"/>
          <w:sz w:val="24"/>
          <w:szCs w:val="24"/>
        </w:rPr>
        <w:t xml:space="preserve"> relationship</w:t>
      </w:r>
      <w:r w:rsidR="00C5413F" w:rsidRPr="005C6D34">
        <w:rPr>
          <w:rFonts w:eastAsia="Georgia" w:cstheme="minorHAnsi"/>
          <w:sz w:val="24"/>
          <w:szCs w:val="24"/>
        </w:rPr>
        <w:t xml:space="preserve"> </w:t>
      </w:r>
      <w:r w:rsidR="007979E5" w:rsidRPr="005C6D34">
        <w:rPr>
          <w:rFonts w:eastAsia="Georgia" w:cstheme="minorHAnsi"/>
          <w:sz w:val="24"/>
          <w:szCs w:val="24"/>
        </w:rPr>
        <w:t>with</w:t>
      </w:r>
      <w:r w:rsidR="4FA106B2" w:rsidRPr="005C6D34">
        <w:rPr>
          <w:rFonts w:eastAsia="Georgia" w:cstheme="minorHAnsi"/>
          <w:sz w:val="24"/>
          <w:szCs w:val="24"/>
        </w:rPr>
        <w:t xml:space="preserve"> </w:t>
      </w:r>
      <w:r w:rsidR="00C5413F" w:rsidRPr="005C6D34">
        <w:rPr>
          <w:rFonts w:eastAsia="Georgia" w:cstheme="minorHAnsi"/>
          <w:sz w:val="24"/>
          <w:szCs w:val="24"/>
        </w:rPr>
        <w:t xml:space="preserve">one </w:t>
      </w:r>
      <w:r w:rsidR="00877479" w:rsidRPr="005C6D34">
        <w:rPr>
          <w:rFonts w:eastAsia="Georgia" w:cstheme="minorHAnsi"/>
          <w:sz w:val="24"/>
          <w:szCs w:val="24"/>
        </w:rPr>
        <w:t>socio</w:t>
      </w:r>
      <w:r w:rsidR="00A95C91" w:rsidRPr="005C6D34">
        <w:rPr>
          <w:rFonts w:eastAsia="Georgia" w:cstheme="minorHAnsi"/>
          <w:sz w:val="24"/>
          <w:szCs w:val="24"/>
        </w:rPr>
        <w:t>-</w:t>
      </w:r>
      <w:r w:rsidR="00877479" w:rsidRPr="005C6D34">
        <w:rPr>
          <w:rFonts w:eastAsia="Georgia" w:cstheme="minorHAnsi"/>
          <w:sz w:val="24"/>
          <w:szCs w:val="24"/>
        </w:rPr>
        <w:t>economic factor</w:t>
      </w:r>
      <w:r w:rsidR="00C5413F" w:rsidRPr="005C6D34">
        <w:rPr>
          <w:rFonts w:eastAsia="Georgia" w:cstheme="minorHAnsi"/>
          <w:sz w:val="24"/>
          <w:szCs w:val="24"/>
        </w:rPr>
        <w:t>,</w:t>
      </w:r>
      <w:r w:rsidR="007979E5" w:rsidRPr="005C6D34">
        <w:rPr>
          <w:rFonts w:eastAsia="Georgia" w:cstheme="minorHAnsi"/>
          <w:sz w:val="24"/>
          <w:szCs w:val="24"/>
        </w:rPr>
        <w:t xml:space="preserve"> </w:t>
      </w:r>
      <w:r w:rsidR="00C5413F" w:rsidRPr="005C6D34">
        <w:rPr>
          <w:rFonts w:eastAsia="Georgia" w:cstheme="minorHAnsi"/>
          <w:sz w:val="24"/>
          <w:szCs w:val="24"/>
        </w:rPr>
        <w:t xml:space="preserve">the </w:t>
      </w:r>
      <w:r w:rsidR="007979E5" w:rsidRPr="005C6D34">
        <w:rPr>
          <w:rFonts w:eastAsia="Georgia" w:cstheme="minorHAnsi"/>
          <w:sz w:val="24"/>
          <w:szCs w:val="24"/>
        </w:rPr>
        <w:t xml:space="preserve">unemployment rate, </w:t>
      </w:r>
      <w:r w:rsidR="00C5413F" w:rsidRPr="005C6D34">
        <w:rPr>
          <w:rFonts w:eastAsia="Georgia" w:cstheme="minorHAnsi"/>
          <w:sz w:val="24"/>
          <w:szCs w:val="24"/>
        </w:rPr>
        <w:t xml:space="preserve">but </w:t>
      </w:r>
      <w:r w:rsidR="00734550" w:rsidRPr="005C6D34">
        <w:rPr>
          <w:rFonts w:eastAsia="Georgia" w:cstheme="minorHAnsi"/>
          <w:sz w:val="24"/>
          <w:szCs w:val="24"/>
        </w:rPr>
        <w:t>not with the</w:t>
      </w:r>
      <w:r w:rsidR="007979E5" w:rsidRPr="005C6D34">
        <w:rPr>
          <w:rFonts w:eastAsia="Georgia" w:cstheme="minorHAnsi"/>
          <w:sz w:val="24"/>
          <w:szCs w:val="24"/>
        </w:rPr>
        <w:t xml:space="preserve"> poverty headcount rate. Anambra state with a 44.2% unemployment rate had the lowest voter turnout of 11.3%</w:t>
      </w:r>
      <w:r w:rsidR="000B20EA" w:rsidRPr="005C6D34">
        <w:rPr>
          <w:rFonts w:eastAsia="Georgia" w:cstheme="minorHAnsi"/>
          <w:sz w:val="24"/>
          <w:szCs w:val="24"/>
        </w:rPr>
        <w:t xml:space="preserve">. The unemployment rate is above the national rate and </w:t>
      </w:r>
      <w:r w:rsidR="004A1C93" w:rsidRPr="005C6D34">
        <w:rPr>
          <w:rFonts w:eastAsia="Georgia" w:cstheme="minorHAnsi"/>
          <w:sz w:val="24"/>
          <w:szCs w:val="24"/>
        </w:rPr>
        <w:t>the turnout rate is below the national turnout rate of 2019</w:t>
      </w:r>
      <w:r w:rsidR="00193AA3" w:rsidRPr="005C6D34">
        <w:rPr>
          <w:rFonts w:eastAsia="Georgia" w:cstheme="minorHAnsi"/>
          <w:sz w:val="24"/>
          <w:szCs w:val="24"/>
        </w:rPr>
        <w:t xml:space="preserve"> of 34.8%.</w:t>
      </w:r>
      <w:r w:rsidR="007979E5" w:rsidRPr="005C6D34">
        <w:rPr>
          <w:rFonts w:eastAsia="Georgia" w:cstheme="minorHAnsi"/>
          <w:sz w:val="24"/>
          <w:szCs w:val="24"/>
        </w:rPr>
        <w:t xml:space="preserve"> Ekiti</w:t>
      </w:r>
      <w:r w:rsidR="00193AA3" w:rsidRPr="005C6D34">
        <w:rPr>
          <w:rFonts w:eastAsia="Georgia" w:cstheme="minorHAnsi"/>
          <w:sz w:val="24"/>
          <w:szCs w:val="24"/>
        </w:rPr>
        <w:t xml:space="preserve"> state</w:t>
      </w:r>
      <w:r w:rsidR="0084195A" w:rsidRPr="005C6D34">
        <w:rPr>
          <w:rFonts w:eastAsia="Georgia" w:cstheme="minorHAnsi"/>
          <w:sz w:val="24"/>
          <w:szCs w:val="24"/>
        </w:rPr>
        <w:t xml:space="preserve"> recorded</w:t>
      </w:r>
      <w:r w:rsidR="007979E5" w:rsidRPr="005C6D34">
        <w:rPr>
          <w:rFonts w:eastAsia="Georgia" w:cstheme="minorHAnsi"/>
          <w:sz w:val="24"/>
          <w:szCs w:val="24"/>
        </w:rPr>
        <w:t xml:space="preserve"> </w:t>
      </w:r>
      <w:r w:rsidR="00734550" w:rsidRPr="005C6D34">
        <w:rPr>
          <w:rFonts w:eastAsia="Georgia" w:cstheme="minorHAnsi"/>
          <w:sz w:val="24"/>
          <w:szCs w:val="24"/>
        </w:rPr>
        <w:t xml:space="preserve">a </w:t>
      </w:r>
      <w:r w:rsidR="007979E5" w:rsidRPr="005C6D34">
        <w:rPr>
          <w:rFonts w:eastAsia="Georgia" w:cstheme="minorHAnsi"/>
          <w:sz w:val="24"/>
          <w:szCs w:val="24"/>
        </w:rPr>
        <w:t xml:space="preserve">32.2% unemployment rate had </w:t>
      </w:r>
      <w:r w:rsidR="00734550" w:rsidRPr="005C6D34">
        <w:rPr>
          <w:rFonts w:eastAsia="Georgia" w:cstheme="minorHAnsi"/>
          <w:sz w:val="24"/>
          <w:szCs w:val="24"/>
        </w:rPr>
        <w:t xml:space="preserve">a </w:t>
      </w:r>
      <w:r w:rsidR="007979E5" w:rsidRPr="005C6D34">
        <w:rPr>
          <w:rFonts w:eastAsia="Georgia" w:cstheme="minorHAnsi"/>
          <w:sz w:val="24"/>
          <w:szCs w:val="24"/>
        </w:rPr>
        <w:t>38.2% voter turnout rate</w:t>
      </w:r>
      <w:r w:rsidR="0084195A" w:rsidRPr="005C6D34">
        <w:rPr>
          <w:rFonts w:eastAsia="Georgia" w:cstheme="minorHAnsi"/>
          <w:sz w:val="24"/>
          <w:szCs w:val="24"/>
        </w:rPr>
        <w:t xml:space="preserve">. Both rates </w:t>
      </w:r>
      <w:r w:rsidR="002011F8" w:rsidRPr="005C6D34">
        <w:rPr>
          <w:rFonts w:eastAsia="Georgia" w:cstheme="minorHAnsi"/>
          <w:sz w:val="24"/>
          <w:szCs w:val="24"/>
        </w:rPr>
        <w:t xml:space="preserve">are similar to the country’s average. </w:t>
      </w:r>
      <w:r w:rsidR="007979E5" w:rsidRPr="005C6D34">
        <w:rPr>
          <w:rFonts w:eastAsia="Georgia" w:cstheme="minorHAnsi"/>
          <w:sz w:val="24"/>
          <w:szCs w:val="24"/>
        </w:rPr>
        <w:t xml:space="preserve">Osun state </w:t>
      </w:r>
      <w:r w:rsidR="002011F8" w:rsidRPr="005C6D34">
        <w:rPr>
          <w:rFonts w:eastAsia="Georgia" w:cstheme="minorHAnsi"/>
          <w:sz w:val="24"/>
          <w:szCs w:val="24"/>
        </w:rPr>
        <w:t>has</w:t>
      </w:r>
      <w:r w:rsidR="00F83F5C" w:rsidRPr="005C6D34">
        <w:rPr>
          <w:rFonts w:eastAsia="Georgia" w:cstheme="minorHAnsi"/>
          <w:sz w:val="24"/>
          <w:szCs w:val="24"/>
        </w:rPr>
        <w:t xml:space="preserve"> a low unemployment rate of</w:t>
      </w:r>
      <w:r w:rsidR="00734550" w:rsidRPr="005C6D34">
        <w:rPr>
          <w:rFonts w:eastAsia="Georgia" w:cstheme="minorHAnsi"/>
          <w:sz w:val="24"/>
          <w:szCs w:val="24"/>
        </w:rPr>
        <w:t xml:space="preserve"> </w:t>
      </w:r>
      <w:r w:rsidR="007979E5" w:rsidRPr="005C6D34">
        <w:rPr>
          <w:rFonts w:eastAsia="Georgia" w:cstheme="minorHAnsi"/>
          <w:sz w:val="24"/>
          <w:szCs w:val="24"/>
        </w:rPr>
        <w:t>11.7%</w:t>
      </w:r>
      <w:r w:rsidR="00F83F5C" w:rsidRPr="005C6D34">
        <w:rPr>
          <w:rFonts w:eastAsia="Georgia" w:cstheme="minorHAnsi"/>
          <w:sz w:val="24"/>
          <w:szCs w:val="24"/>
        </w:rPr>
        <w:t>, below the national average</w:t>
      </w:r>
      <w:r w:rsidR="002610DF" w:rsidRPr="005C6D34">
        <w:rPr>
          <w:rFonts w:eastAsia="Georgia" w:cstheme="minorHAnsi"/>
          <w:sz w:val="24"/>
          <w:szCs w:val="24"/>
        </w:rPr>
        <w:t xml:space="preserve">. The turnout rate </w:t>
      </w:r>
      <w:r w:rsidR="002011F8" w:rsidRPr="005C6D34">
        <w:rPr>
          <w:rFonts w:eastAsia="Georgia" w:cstheme="minorHAnsi"/>
          <w:sz w:val="24"/>
          <w:szCs w:val="24"/>
        </w:rPr>
        <w:t xml:space="preserve">recorded </w:t>
      </w:r>
      <w:r w:rsidR="002610DF" w:rsidRPr="005C6D34">
        <w:rPr>
          <w:rFonts w:eastAsia="Georgia" w:cstheme="minorHAnsi"/>
          <w:sz w:val="24"/>
          <w:szCs w:val="24"/>
        </w:rPr>
        <w:t xml:space="preserve">for the </w:t>
      </w:r>
      <w:r w:rsidR="002610DF" w:rsidRPr="005C6D34">
        <w:rPr>
          <w:rFonts w:eastAsia="Georgia" w:cstheme="minorHAnsi"/>
          <w:sz w:val="24"/>
          <w:szCs w:val="24"/>
        </w:rPr>
        <w:lastRenderedPageBreak/>
        <w:t>off-cycle election was</w:t>
      </w:r>
      <w:r w:rsidR="007979E5" w:rsidRPr="005C6D34">
        <w:rPr>
          <w:rFonts w:eastAsia="Georgia" w:cstheme="minorHAnsi"/>
          <w:sz w:val="24"/>
          <w:szCs w:val="24"/>
        </w:rPr>
        <w:t xml:space="preserve"> 43.8%.</w:t>
      </w:r>
      <w:r w:rsidR="007979E5" w:rsidRPr="005C6D34">
        <w:rPr>
          <w:rFonts w:cstheme="minorHAnsi"/>
          <w:sz w:val="24"/>
          <w:szCs w:val="24"/>
        </w:rPr>
        <w:t xml:space="preserve"> </w:t>
      </w:r>
      <w:r w:rsidR="004429F7" w:rsidRPr="005C6D34">
        <w:rPr>
          <w:rFonts w:eastAsia="Georgia" w:cstheme="minorHAnsi"/>
          <w:sz w:val="24"/>
          <w:szCs w:val="24"/>
        </w:rPr>
        <w:t>The</w:t>
      </w:r>
      <w:r w:rsidR="4FA106B2" w:rsidRPr="005C6D34">
        <w:rPr>
          <w:rFonts w:eastAsia="Georgia" w:cstheme="minorHAnsi"/>
          <w:sz w:val="24"/>
          <w:szCs w:val="24"/>
        </w:rPr>
        <w:t xml:space="preserve"> turnout</w:t>
      </w:r>
      <w:r w:rsidR="004429F7" w:rsidRPr="005C6D34">
        <w:rPr>
          <w:rFonts w:eastAsia="Georgia" w:cstheme="minorHAnsi"/>
          <w:sz w:val="24"/>
          <w:szCs w:val="24"/>
        </w:rPr>
        <w:t xml:space="preserve"> rate</w:t>
      </w:r>
      <w:r w:rsidR="4FA106B2" w:rsidRPr="005C6D34">
        <w:rPr>
          <w:rFonts w:eastAsia="Georgia" w:cstheme="minorHAnsi"/>
          <w:sz w:val="24"/>
          <w:szCs w:val="24"/>
        </w:rPr>
        <w:t xml:space="preserve"> of </w:t>
      </w:r>
      <w:r w:rsidR="00734550" w:rsidRPr="005C6D34">
        <w:rPr>
          <w:rFonts w:eastAsia="Georgia" w:cstheme="minorHAnsi"/>
          <w:sz w:val="24"/>
          <w:szCs w:val="24"/>
        </w:rPr>
        <w:t>Anambra’s</w:t>
      </w:r>
      <w:r w:rsidR="4FA106B2" w:rsidRPr="005C6D34">
        <w:rPr>
          <w:rFonts w:eastAsia="Georgia" w:cstheme="minorHAnsi"/>
          <w:sz w:val="24"/>
          <w:szCs w:val="24"/>
        </w:rPr>
        <w:t xml:space="preserve"> </w:t>
      </w:r>
      <w:r w:rsidR="004429F7" w:rsidRPr="005C6D34">
        <w:rPr>
          <w:rFonts w:eastAsia="Georgia" w:cstheme="minorHAnsi"/>
          <w:sz w:val="24"/>
          <w:szCs w:val="24"/>
        </w:rPr>
        <w:t>off-cycle</w:t>
      </w:r>
      <w:r w:rsidR="4FA106B2" w:rsidRPr="005C6D34">
        <w:rPr>
          <w:rFonts w:eastAsia="Georgia" w:cstheme="minorHAnsi"/>
          <w:sz w:val="24"/>
          <w:szCs w:val="24"/>
        </w:rPr>
        <w:t xml:space="preserve"> election seems to reflect the </w:t>
      </w:r>
      <w:r w:rsidR="00FB6EFB" w:rsidRPr="005C6D34">
        <w:rPr>
          <w:rFonts w:eastAsia="Georgia" w:cstheme="minorHAnsi"/>
          <w:sz w:val="24"/>
          <w:szCs w:val="24"/>
        </w:rPr>
        <w:t>withdrawal effect</w:t>
      </w:r>
      <w:r w:rsidR="00C43E0A" w:rsidRPr="005C6D34">
        <w:rPr>
          <w:rFonts w:eastAsia="Georgia" w:cstheme="minorHAnsi"/>
          <w:sz w:val="24"/>
          <w:szCs w:val="24"/>
        </w:rPr>
        <w:t xml:space="preserve"> </w:t>
      </w:r>
      <w:r w:rsidR="00A21EC2" w:rsidRPr="005C6D34">
        <w:rPr>
          <w:rFonts w:eastAsia="Georgia" w:cstheme="minorHAnsi"/>
          <w:sz w:val="24"/>
          <w:szCs w:val="24"/>
        </w:rPr>
        <w:t xml:space="preserve">theory </w:t>
      </w:r>
      <w:r w:rsidR="00C43E0A" w:rsidRPr="005C6D34">
        <w:rPr>
          <w:rFonts w:eastAsia="Georgia" w:cstheme="minorHAnsi"/>
          <w:sz w:val="24"/>
          <w:szCs w:val="24"/>
        </w:rPr>
        <w:t xml:space="preserve">(Rowe 2015, Schulz-Herzenberg 2019, </w:t>
      </w:r>
      <w:proofErr w:type="spellStart"/>
      <w:r w:rsidR="00C43E0A" w:rsidRPr="005C6D34">
        <w:rPr>
          <w:rFonts w:eastAsia="Georgia" w:cstheme="minorHAnsi"/>
          <w:sz w:val="24"/>
          <w:szCs w:val="24"/>
        </w:rPr>
        <w:t>Lynge</w:t>
      </w:r>
      <w:proofErr w:type="spellEnd"/>
      <w:r w:rsidR="00C43E0A" w:rsidRPr="005C6D34">
        <w:rPr>
          <w:rFonts w:eastAsia="Georgia" w:cstheme="minorHAnsi"/>
          <w:sz w:val="24"/>
          <w:szCs w:val="24"/>
        </w:rPr>
        <w:t xml:space="preserve"> &amp; Martínez i Coma 2022)</w:t>
      </w:r>
      <w:r w:rsidR="000E3407" w:rsidRPr="005C6D34">
        <w:rPr>
          <w:rFonts w:eastAsia="Georgia" w:cstheme="minorHAnsi"/>
          <w:sz w:val="24"/>
          <w:szCs w:val="24"/>
        </w:rPr>
        <w:t>,</w:t>
      </w:r>
      <w:r w:rsidR="4FA106B2" w:rsidRPr="005C6D34">
        <w:rPr>
          <w:rFonts w:eastAsia="Georgia" w:cstheme="minorHAnsi"/>
          <w:sz w:val="24"/>
          <w:szCs w:val="24"/>
        </w:rPr>
        <w:t xml:space="preserve"> which maintain</w:t>
      </w:r>
      <w:r w:rsidR="00FB6EFB" w:rsidRPr="005C6D34">
        <w:rPr>
          <w:rFonts w:eastAsia="Georgia" w:cstheme="minorHAnsi"/>
          <w:sz w:val="24"/>
          <w:szCs w:val="24"/>
        </w:rPr>
        <w:t>s</w:t>
      </w:r>
      <w:r w:rsidR="4FA106B2" w:rsidRPr="005C6D34">
        <w:rPr>
          <w:rFonts w:eastAsia="Georgia" w:cstheme="minorHAnsi"/>
          <w:sz w:val="24"/>
          <w:szCs w:val="24"/>
        </w:rPr>
        <w:t xml:space="preserve"> that voters are unlikely to punish incumbents for unfavourable </w:t>
      </w:r>
      <w:r w:rsidR="000E3407" w:rsidRPr="005C6D34">
        <w:rPr>
          <w:rFonts w:eastAsia="Georgia" w:cstheme="minorHAnsi"/>
          <w:sz w:val="24"/>
          <w:szCs w:val="24"/>
        </w:rPr>
        <w:t>socio</w:t>
      </w:r>
      <w:r w:rsidR="00A95C91" w:rsidRPr="005C6D34">
        <w:rPr>
          <w:rFonts w:eastAsia="Georgia" w:cstheme="minorHAnsi"/>
          <w:sz w:val="24"/>
          <w:szCs w:val="24"/>
        </w:rPr>
        <w:t>-</w:t>
      </w:r>
      <w:r w:rsidR="000E3407" w:rsidRPr="005C6D34">
        <w:rPr>
          <w:rFonts w:eastAsia="Georgia" w:cstheme="minorHAnsi"/>
          <w:sz w:val="24"/>
          <w:szCs w:val="24"/>
        </w:rPr>
        <w:t>economic factors</w:t>
      </w:r>
      <w:r w:rsidR="4FA106B2" w:rsidRPr="005C6D34">
        <w:rPr>
          <w:rFonts w:eastAsia="Georgia" w:cstheme="minorHAnsi"/>
          <w:sz w:val="24"/>
          <w:szCs w:val="24"/>
        </w:rPr>
        <w:t xml:space="preserve">. </w:t>
      </w:r>
    </w:p>
    <w:p w14:paraId="7A665274" w14:textId="1F6C4357" w:rsidR="00B776FA" w:rsidRPr="005C6D34" w:rsidRDefault="000025FA" w:rsidP="00B776FA">
      <w:pPr>
        <w:spacing w:line="360" w:lineRule="auto"/>
        <w:jc w:val="both"/>
        <w:rPr>
          <w:rFonts w:cstheme="minorHAnsi"/>
          <w:sz w:val="24"/>
          <w:szCs w:val="24"/>
        </w:rPr>
      </w:pPr>
      <w:r w:rsidRPr="005C6D34">
        <w:rPr>
          <w:rFonts w:eastAsia="Georgia" w:cstheme="minorHAnsi"/>
          <w:sz w:val="24"/>
          <w:szCs w:val="24"/>
        </w:rPr>
        <w:t>If this</w:t>
      </w:r>
      <w:r w:rsidR="006338EA" w:rsidRPr="005C6D34">
        <w:rPr>
          <w:rFonts w:eastAsia="Georgia" w:cstheme="minorHAnsi"/>
          <w:sz w:val="24"/>
          <w:szCs w:val="24"/>
        </w:rPr>
        <w:t xml:space="preserve"> pattern were to be repeated in the 2023 general elections, </w:t>
      </w:r>
      <w:r w:rsidR="00561D13" w:rsidRPr="005C6D34">
        <w:rPr>
          <w:rFonts w:eastAsia="Georgia" w:cstheme="minorHAnsi"/>
          <w:sz w:val="24"/>
          <w:szCs w:val="24"/>
        </w:rPr>
        <w:t xml:space="preserve">the states with lower unemployment rate will have a higher voter turnout than </w:t>
      </w:r>
      <w:r w:rsidR="00290694" w:rsidRPr="005C6D34">
        <w:rPr>
          <w:rFonts w:eastAsia="Georgia" w:cstheme="minorHAnsi"/>
          <w:sz w:val="24"/>
          <w:szCs w:val="24"/>
        </w:rPr>
        <w:t>that with higher unemployment rate</w:t>
      </w:r>
      <w:r w:rsidR="0035508C" w:rsidRPr="005C6D34">
        <w:rPr>
          <w:rFonts w:eastAsia="Georgia" w:cstheme="minorHAnsi"/>
          <w:sz w:val="24"/>
          <w:szCs w:val="24"/>
        </w:rPr>
        <w:t xml:space="preserve">. </w:t>
      </w:r>
      <w:r w:rsidR="00290694" w:rsidRPr="005C6D34">
        <w:rPr>
          <w:rFonts w:eastAsia="Georgia" w:cstheme="minorHAnsi"/>
          <w:sz w:val="24"/>
          <w:szCs w:val="24"/>
        </w:rPr>
        <w:t>From</w:t>
      </w:r>
      <w:r w:rsidR="00232587" w:rsidRPr="005C6D34">
        <w:rPr>
          <w:rFonts w:eastAsia="Georgia" w:cstheme="minorHAnsi"/>
          <w:sz w:val="24"/>
          <w:szCs w:val="24"/>
        </w:rPr>
        <w:t xml:space="preserve"> Figure </w:t>
      </w:r>
      <w:r w:rsidR="00BF2511" w:rsidRPr="005C6D34">
        <w:rPr>
          <w:rFonts w:eastAsia="Georgia" w:cstheme="minorHAnsi"/>
          <w:sz w:val="24"/>
          <w:szCs w:val="24"/>
        </w:rPr>
        <w:t>1</w:t>
      </w:r>
      <w:r w:rsidR="00232587" w:rsidRPr="005C6D34">
        <w:rPr>
          <w:rFonts w:eastAsia="Georgia" w:cstheme="minorHAnsi"/>
          <w:sz w:val="24"/>
          <w:szCs w:val="24"/>
        </w:rPr>
        <w:t xml:space="preserve">, </w:t>
      </w:r>
      <w:r w:rsidR="009F525D" w:rsidRPr="005C6D34">
        <w:rPr>
          <w:rFonts w:eastAsia="Georgia" w:cstheme="minorHAnsi"/>
          <w:sz w:val="24"/>
          <w:szCs w:val="24"/>
        </w:rPr>
        <w:t xml:space="preserve">three </w:t>
      </w:r>
      <w:r w:rsidR="00C22800" w:rsidRPr="005C6D34">
        <w:rPr>
          <w:rFonts w:cstheme="minorHAnsi"/>
          <w:sz w:val="24"/>
          <w:szCs w:val="24"/>
        </w:rPr>
        <w:t>geo-political zone</w:t>
      </w:r>
      <w:r w:rsidR="009F525D" w:rsidRPr="005C6D34">
        <w:rPr>
          <w:rFonts w:eastAsia="Georgia" w:cstheme="minorHAnsi"/>
          <w:sz w:val="24"/>
          <w:szCs w:val="24"/>
        </w:rPr>
        <w:t>s will have lower voter turnout</w:t>
      </w:r>
      <w:r w:rsidR="00E108A1" w:rsidRPr="005C6D34">
        <w:rPr>
          <w:rFonts w:eastAsia="Georgia" w:cstheme="minorHAnsi"/>
          <w:sz w:val="24"/>
          <w:szCs w:val="24"/>
        </w:rPr>
        <w:t xml:space="preserve"> due </w:t>
      </w:r>
      <w:r w:rsidR="00FF5207" w:rsidRPr="005C6D34">
        <w:rPr>
          <w:rFonts w:eastAsia="Georgia" w:cstheme="minorHAnsi"/>
          <w:sz w:val="24"/>
          <w:szCs w:val="24"/>
        </w:rPr>
        <w:t>to low unemployment rate</w:t>
      </w:r>
      <w:r w:rsidR="009F525D" w:rsidRPr="005C6D34">
        <w:rPr>
          <w:rFonts w:eastAsia="Georgia" w:cstheme="minorHAnsi"/>
          <w:sz w:val="24"/>
          <w:szCs w:val="24"/>
        </w:rPr>
        <w:t xml:space="preserve">: </w:t>
      </w:r>
      <w:r w:rsidR="00981266" w:rsidRPr="005C6D34">
        <w:rPr>
          <w:rFonts w:eastAsia="Georgia" w:cstheme="minorHAnsi"/>
          <w:sz w:val="24"/>
          <w:szCs w:val="24"/>
        </w:rPr>
        <w:t xml:space="preserve">SE </w:t>
      </w:r>
      <w:r w:rsidR="00E108A1" w:rsidRPr="005C6D34">
        <w:rPr>
          <w:rFonts w:eastAsia="Georgia" w:cstheme="minorHAnsi"/>
          <w:sz w:val="24"/>
          <w:szCs w:val="24"/>
        </w:rPr>
        <w:t xml:space="preserve">- </w:t>
      </w:r>
      <w:r w:rsidR="00232587" w:rsidRPr="005C6D34">
        <w:rPr>
          <w:rFonts w:eastAsia="Georgia" w:cstheme="minorHAnsi"/>
          <w:sz w:val="24"/>
          <w:szCs w:val="24"/>
        </w:rPr>
        <w:t>44.5%</w:t>
      </w:r>
      <w:r w:rsidR="00981266" w:rsidRPr="005C6D34">
        <w:rPr>
          <w:rFonts w:eastAsia="Georgia" w:cstheme="minorHAnsi"/>
          <w:sz w:val="24"/>
          <w:szCs w:val="24"/>
        </w:rPr>
        <w:t xml:space="preserve">, SS </w:t>
      </w:r>
      <w:r w:rsidR="00E108A1" w:rsidRPr="005C6D34">
        <w:rPr>
          <w:rFonts w:eastAsia="Georgia" w:cstheme="minorHAnsi"/>
          <w:sz w:val="24"/>
          <w:szCs w:val="24"/>
        </w:rPr>
        <w:t xml:space="preserve">- </w:t>
      </w:r>
      <w:r w:rsidR="00094A93" w:rsidRPr="005C6D34">
        <w:rPr>
          <w:rFonts w:eastAsia="Georgia" w:cstheme="minorHAnsi"/>
          <w:sz w:val="24"/>
          <w:szCs w:val="24"/>
        </w:rPr>
        <w:t>43.</w:t>
      </w:r>
      <w:r w:rsidR="00232587" w:rsidRPr="005C6D34">
        <w:rPr>
          <w:rFonts w:eastAsia="Georgia" w:cstheme="minorHAnsi"/>
          <w:sz w:val="24"/>
          <w:szCs w:val="24"/>
        </w:rPr>
        <w:t>8%</w:t>
      </w:r>
      <w:r w:rsidR="00981266" w:rsidRPr="005C6D34">
        <w:rPr>
          <w:rFonts w:eastAsia="Georgia" w:cstheme="minorHAnsi"/>
          <w:sz w:val="24"/>
          <w:szCs w:val="24"/>
        </w:rPr>
        <w:t xml:space="preserve">, and NE </w:t>
      </w:r>
      <w:r w:rsidR="00E108A1" w:rsidRPr="005C6D34">
        <w:rPr>
          <w:rFonts w:eastAsia="Georgia" w:cstheme="minorHAnsi"/>
          <w:sz w:val="24"/>
          <w:szCs w:val="24"/>
        </w:rPr>
        <w:t>-</w:t>
      </w:r>
      <w:r w:rsidR="00232587" w:rsidRPr="005C6D34">
        <w:rPr>
          <w:rFonts w:eastAsia="Georgia" w:cstheme="minorHAnsi"/>
          <w:sz w:val="24"/>
          <w:szCs w:val="24"/>
        </w:rPr>
        <w:t xml:space="preserve"> 41.3%</w:t>
      </w:r>
      <w:r w:rsidR="00FF5207" w:rsidRPr="005C6D34">
        <w:rPr>
          <w:rFonts w:eastAsia="Georgia" w:cstheme="minorHAnsi"/>
          <w:sz w:val="24"/>
          <w:szCs w:val="24"/>
        </w:rPr>
        <w:t>.</w:t>
      </w:r>
      <w:r w:rsidR="009A40E0" w:rsidRPr="005C6D34">
        <w:rPr>
          <w:rFonts w:eastAsia="Georgia" w:cstheme="minorHAnsi"/>
          <w:sz w:val="24"/>
          <w:szCs w:val="24"/>
        </w:rPr>
        <w:t xml:space="preserve"> Following on from Figure 3,</w:t>
      </w:r>
      <w:r w:rsidR="00FF5207" w:rsidRPr="005C6D34">
        <w:rPr>
          <w:rFonts w:eastAsia="Georgia" w:cstheme="minorHAnsi"/>
          <w:sz w:val="24"/>
          <w:szCs w:val="24"/>
        </w:rPr>
        <w:t xml:space="preserve"> the you</w:t>
      </w:r>
      <w:r w:rsidR="00A13A9B" w:rsidRPr="005C6D34">
        <w:rPr>
          <w:rFonts w:eastAsia="Georgia" w:cstheme="minorHAnsi"/>
          <w:sz w:val="24"/>
          <w:szCs w:val="24"/>
        </w:rPr>
        <w:t>nger and middle-aged voters</w:t>
      </w:r>
      <w:r w:rsidR="004F16EE" w:rsidRPr="005C6D34">
        <w:rPr>
          <w:rFonts w:eastAsia="Georgia" w:cstheme="minorHAnsi"/>
          <w:sz w:val="24"/>
          <w:szCs w:val="24"/>
        </w:rPr>
        <w:t xml:space="preserve"> (18-2</w:t>
      </w:r>
      <w:r w:rsidR="0073587B" w:rsidRPr="005C6D34">
        <w:rPr>
          <w:rFonts w:eastAsia="Georgia" w:cstheme="minorHAnsi"/>
          <w:sz w:val="24"/>
          <w:szCs w:val="24"/>
        </w:rPr>
        <w:t xml:space="preserve">4, 25-34, and </w:t>
      </w:r>
      <w:r w:rsidR="00A13A9B" w:rsidRPr="005C6D34">
        <w:rPr>
          <w:rFonts w:eastAsia="Georgia" w:cstheme="minorHAnsi"/>
          <w:sz w:val="24"/>
          <w:szCs w:val="24"/>
        </w:rPr>
        <w:t>34-35</w:t>
      </w:r>
      <w:r w:rsidR="004F16EE" w:rsidRPr="005C6D34">
        <w:rPr>
          <w:rFonts w:eastAsia="Georgia" w:cstheme="minorHAnsi"/>
          <w:sz w:val="24"/>
          <w:szCs w:val="24"/>
        </w:rPr>
        <w:t>)</w:t>
      </w:r>
      <w:r w:rsidR="009A40E0" w:rsidRPr="005C6D34">
        <w:rPr>
          <w:rFonts w:eastAsia="Georgia" w:cstheme="minorHAnsi"/>
          <w:sz w:val="24"/>
          <w:szCs w:val="24"/>
        </w:rPr>
        <w:t xml:space="preserve"> will have a lower turnout due to high unemployment rate.</w:t>
      </w:r>
      <w:r w:rsidR="00B776FA" w:rsidRPr="005C6D34">
        <w:rPr>
          <w:rFonts w:eastAsia="Georgia" w:cstheme="minorHAnsi"/>
          <w:sz w:val="24"/>
          <w:szCs w:val="24"/>
        </w:rPr>
        <w:t xml:space="preserve"> That means States with high unemployment rates may not have a high voter turnout. As witnessed in the Osun gubernatorial election, increased voter turnout tends to cancel out the incumbency advantage during elections. The reverse is also true under similar conditions. Incumbents standing for re-election often show more desperation in the face of increased voter turnouts and stiff competition. Dawson (2020) notes that the incumbent will resort to rigging when the race is tightly contested. Most of the time, the incumbent can force the election to lead to run-offs where the challengers may stand no chance of a victory, as was the case with the 2018 Osun gubernatorial election.</w:t>
      </w:r>
    </w:p>
    <w:p w14:paraId="65A4D6DF" w14:textId="573EE06F" w:rsidR="4FA106B2" w:rsidRPr="005C6D34" w:rsidRDefault="007B1723" w:rsidP="001D0C42">
      <w:pPr>
        <w:spacing w:line="360" w:lineRule="auto"/>
        <w:jc w:val="both"/>
        <w:rPr>
          <w:rFonts w:cstheme="minorHAnsi"/>
          <w:sz w:val="24"/>
          <w:szCs w:val="24"/>
        </w:rPr>
      </w:pPr>
      <w:r w:rsidRPr="005C6D34">
        <w:rPr>
          <w:rFonts w:eastAsia="Georgia" w:cstheme="minorHAnsi"/>
          <w:sz w:val="24"/>
          <w:szCs w:val="24"/>
        </w:rPr>
        <w:t>Although</w:t>
      </w:r>
      <w:r w:rsidR="4FA106B2" w:rsidRPr="005C6D34">
        <w:rPr>
          <w:rFonts w:eastAsia="Georgia" w:cstheme="minorHAnsi"/>
          <w:sz w:val="24"/>
          <w:szCs w:val="24"/>
        </w:rPr>
        <w:t xml:space="preserve"> Ekiti showed </w:t>
      </w:r>
      <w:r w:rsidR="000E3407" w:rsidRPr="005C6D34">
        <w:rPr>
          <w:rFonts w:eastAsia="Georgia" w:cstheme="minorHAnsi"/>
          <w:sz w:val="24"/>
          <w:szCs w:val="24"/>
        </w:rPr>
        <w:t xml:space="preserve">a </w:t>
      </w:r>
      <w:r w:rsidR="4FA106B2" w:rsidRPr="005C6D34">
        <w:rPr>
          <w:rFonts w:eastAsia="Georgia" w:cstheme="minorHAnsi"/>
          <w:sz w:val="24"/>
          <w:szCs w:val="24"/>
        </w:rPr>
        <w:t xml:space="preserve">decline in voter turnout from 43.7% in </w:t>
      </w:r>
      <w:r w:rsidR="000E3407" w:rsidRPr="005C6D34">
        <w:rPr>
          <w:rFonts w:eastAsia="Georgia" w:cstheme="minorHAnsi"/>
          <w:sz w:val="24"/>
          <w:szCs w:val="24"/>
        </w:rPr>
        <w:t xml:space="preserve">the </w:t>
      </w:r>
      <w:r w:rsidR="4FA106B2" w:rsidRPr="005C6D34">
        <w:rPr>
          <w:rFonts w:eastAsia="Georgia" w:cstheme="minorHAnsi"/>
          <w:sz w:val="24"/>
          <w:szCs w:val="24"/>
        </w:rPr>
        <w:t xml:space="preserve">2019 presidential election, Osun state showed a slight improvement of 0.012% </w:t>
      </w:r>
      <w:r w:rsidR="00712D50" w:rsidRPr="005C6D34">
        <w:rPr>
          <w:rFonts w:eastAsia="Georgia" w:cstheme="minorHAnsi"/>
          <w:sz w:val="24"/>
          <w:szCs w:val="24"/>
        </w:rPr>
        <w:t>in</w:t>
      </w:r>
      <w:r w:rsidR="4FA106B2" w:rsidRPr="005C6D34">
        <w:rPr>
          <w:rFonts w:eastAsia="Georgia" w:cstheme="minorHAnsi"/>
          <w:sz w:val="24"/>
          <w:szCs w:val="24"/>
        </w:rPr>
        <w:t xml:space="preserve"> the same period. Ekiti, like Anambra, saw the incumbent party winning the gubernatorial election while the incumbent party c</w:t>
      </w:r>
      <w:r w:rsidR="00B3375E" w:rsidRPr="005C6D34">
        <w:rPr>
          <w:rFonts w:eastAsia="Georgia" w:cstheme="minorHAnsi"/>
          <w:sz w:val="24"/>
          <w:szCs w:val="24"/>
        </w:rPr>
        <w:t>and</w:t>
      </w:r>
      <w:r w:rsidR="4FA106B2" w:rsidRPr="005C6D34">
        <w:rPr>
          <w:rFonts w:eastAsia="Georgia" w:cstheme="minorHAnsi"/>
          <w:sz w:val="24"/>
          <w:szCs w:val="24"/>
        </w:rPr>
        <w:t xml:space="preserve">idate, Gbenga </w:t>
      </w:r>
      <w:proofErr w:type="spellStart"/>
      <w:r w:rsidR="4FA106B2" w:rsidRPr="005C6D34">
        <w:rPr>
          <w:rFonts w:eastAsia="Georgia" w:cstheme="minorHAnsi"/>
          <w:sz w:val="24"/>
          <w:szCs w:val="24"/>
        </w:rPr>
        <w:t>Oyetola</w:t>
      </w:r>
      <w:proofErr w:type="spellEnd"/>
      <w:r w:rsidR="4FA106B2" w:rsidRPr="005C6D34">
        <w:rPr>
          <w:rFonts w:eastAsia="Georgia" w:cstheme="minorHAnsi"/>
          <w:sz w:val="24"/>
          <w:szCs w:val="24"/>
        </w:rPr>
        <w:t>, lost to the opposition in his bid for re</w:t>
      </w:r>
      <w:r w:rsidR="00A95C91" w:rsidRPr="005C6D34">
        <w:rPr>
          <w:rFonts w:eastAsia="Georgia" w:cstheme="minorHAnsi"/>
          <w:sz w:val="24"/>
          <w:szCs w:val="24"/>
        </w:rPr>
        <w:t>-</w:t>
      </w:r>
      <w:r w:rsidR="4FA106B2" w:rsidRPr="005C6D34">
        <w:rPr>
          <w:rFonts w:eastAsia="Georgia" w:cstheme="minorHAnsi"/>
          <w:sz w:val="24"/>
          <w:szCs w:val="24"/>
        </w:rPr>
        <w:t>election</w:t>
      </w:r>
      <w:r w:rsidR="002E5557" w:rsidRPr="005C6D34">
        <w:rPr>
          <w:rFonts w:eastAsia="Georgia" w:cstheme="minorHAnsi"/>
          <w:sz w:val="24"/>
          <w:szCs w:val="24"/>
        </w:rPr>
        <w:t xml:space="preserve"> </w:t>
      </w:r>
      <w:r w:rsidR="00946D34" w:rsidRPr="005C6D34">
        <w:rPr>
          <w:rFonts w:eastAsia="Georgia" w:cstheme="minorHAnsi"/>
          <w:sz w:val="24"/>
          <w:szCs w:val="24"/>
        </w:rPr>
        <w:t>by a narrow margin as seen in Figure 7</w:t>
      </w:r>
      <w:r w:rsidR="4FA106B2" w:rsidRPr="005C6D34">
        <w:rPr>
          <w:rFonts w:eastAsia="Georgia" w:cstheme="minorHAnsi"/>
          <w:sz w:val="24"/>
          <w:szCs w:val="24"/>
        </w:rPr>
        <w:t>. This may explain the</w:t>
      </w:r>
      <w:r w:rsidR="00A77A2A" w:rsidRPr="005C6D34">
        <w:rPr>
          <w:rFonts w:eastAsia="Georgia" w:cstheme="minorHAnsi"/>
          <w:sz w:val="24"/>
          <w:szCs w:val="24"/>
        </w:rPr>
        <w:t xml:space="preserve"> higher voter </w:t>
      </w:r>
      <w:r w:rsidR="4FA106B2" w:rsidRPr="005C6D34">
        <w:rPr>
          <w:rFonts w:eastAsia="Georgia" w:cstheme="minorHAnsi"/>
          <w:sz w:val="24"/>
          <w:szCs w:val="24"/>
        </w:rPr>
        <w:t xml:space="preserve">turnout in Osun state. This is in agreement with the </w:t>
      </w:r>
      <w:r w:rsidR="00FB6EFB" w:rsidRPr="005C6D34">
        <w:rPr>
          <w:rFonts w:eastAsia="Georgia" w:cstheme="minorHAnsi"/>
          <w:sz w:val="24"/>
          <w:szCs w:val="24"/>
        </w:rPr>
        <w:t>mobili</w:t>
      </w:r>
      <w:r w:rsidR="00721E6B" w:rsidRPr="005C6D34">
        <w:rPr>
          <w:rFonts w:eastAsia="Georgia" w:cstheme="minorHAnsi"/>
          <w:sz w:val="24"/>
          <w:szCs w:val="24"/>
        </w:rPr>
        <w:t>s</w:t>
      </w:r>
      <w:r w:rsidR="00FB6EFB" w:rsidRPr="005C6D34">
        <w:rPr>
          <w:rFonts w:eastAsia="Georgia" w:cstheme="minorHAnsi"/>
          <w:sz w:val="24"/>
          <w:szCs w:val="24"/>
        </w:rPr>
        <w:t xml:space="preserve">ation effect of </w:t>
      </w:r>
      <w:r w:rsidR="00712D50" w:rsidRPr="005C6D34">
        <w:rPr>
          <w:rFonts w:eastAsia="Georgia" w:cstheme="minorHAnsi"/>
          <w:sz w:val="24"/>
          <w:szCs w:val="24"/>
        </w:rPr>
        <w:t>socio</w:t>
      </w:r>
      <w:r w:rsidR="00A95C91" w:rsidRPr="005C6D34">
        <w:rPr>
          <w:rFonts w:eastAsia="Georgia" w:cstheme="minorHAnsi"/>
          <w:sz w:val="24"/>
          <w:szCs w:val="24"/>
        </w:rPr>
        <w:t>-</w:t>
      </w:r>
      <w:r w:rsidR="00712D50" w:rsidRPr="005C6D34">
        <w:rPr>
          <w:rFonts w:eastAsia="Georgia" w:cstheme="minorHAnsi"/>
          <w:sz w:val="24"/>
          <w:szCs w:val="24"/>
        </w:rPr>
        <w:t>economic factors</w:t>
      </w:r>
      <w:r w:rsidR="4FA106B2" w:rsidRPr="005C6D34">
        <w:rPr>
          <w:rFonts w:eastAsia="Georgia" w:cstheme="minorHAnsi"/>
          <w:sz w:val="24"/>
          <w:szCs w:val="24"/>
        </w:rPr>
        <w:t xml:space="preserve">. </w:t>
      </w:r>
      <w:r w:rsidR="00383BAC" w:rsidRPr="005C6D34">
        <w:rPr>
          <w:rFonts w:eastAsia="Georgia" w:cstheme="minorHAnsi"/>
          <w:sz w:val="24"/>
          <w:szCs w:val="24"/>
        </w:rPr>
        <w:t xml:space="preserve">The </w:t>
      </w:r>
      <w:r w:rsidR="00174671" w:rsidRPr="005C6D34">
        <w:rPr>
          <w:rFonts w:eastAsia="Georgia" w:cstheme="minorHAnsi"/>
          <w:sz w:val="24"/>
          <w:szCs w:val="24"/>
        </w:rPr>
        <w:t>outcome of e</w:t>
      </w:r>
      <w:r w:rsidR="00A95C91" w:rsidRPr="005C6D34">
        <w:rPr>
          <w:rFonts w:eastAsia="Georgia" w:cstheme="minorHAnsi"/>
          <w:sz w:val="24"/>
          <w:szCs w:val="24"/>
        </w:rPr>
        <w:t>lection</w:t>
      </w:r>
      <w:r w:rsidR="00174671" w:rsidRPr="005C6D34">
        <w:rPr>
          <w:rFonts w:eastAsia="Georgia" w:cstheme="minorHAnsi"/>
          <w:sz w:val="24"/>
          <w:szCs w:val="24"/>
        </w:rPr>
        <w:t>s</w:t>
      </w:r>
      <w:r w:rsidR="00A95C91" w:rsidRPr="005C6D34">
        <w:rPr>
          <w:rFonts w:eastAsia="Georgia" w:cstheme="minorHAnsi"/>
          <w:sz w:val="24"/>
          <w:szCs w:val="24"/>
        </w:rPr>
        <w:t xml:space="preserve"> </w:t>
      </w:r>
      <w:r w:rsidR="00E1020D" w:rsidRPr="005C6D34">
        <w:rPr>
          <w:rFonts w:eastAsia="Georgia" w:cstheme="minorHAnsi"/>
          <w:sz w:val="24"/>
          <w:szCs w:val="24"/>
        </w:rPr>
        <w:t>can</w:t>
      </w:r>
      <w:r w:rsidR="00A95C91" w:rsidRPr="005C6D34">
        <w:rPr>
          <w:rFonts w:eastAsia="Georgia" w:cstheme="minorHAnsi"/>
          <w:sz w:val="24"/>
          <w:szCs w:val="24"/>
        </w:rPr>
        <w:t xml:space="preserve"> be affected by more than just socio-economic factors. </w:t>
      </w:r>
      <w:r w:rsidR="4FA106B2" w:rsidRPr="005C6D34">
        <w:rPr>
          <w:rFonts w:eastAsia="Georgia" w:cstheme="minorHAnsi"/>
          <w:sz w:val="24"/>
          <w:szCs w:val="24"/>
        </w:rPr>
        <w:t>As Frank &amp; Martínez i Coma (2021) observed, voter turnout may also be influenced by other factors</w:t>
      </w:r>
      <w:r w:rsidR="00B3375E" w:rsidRPr="005C6D34">
        <w:rPr>
          <w:rFonts w:eastAsia="Georgia" w:cstheme="minorHAnsi"/>
          <w:sz w:val="24"/>
          <w:szCs w:val="24"/>
        </w:rPr>
        <w:t>,</w:t>
      </w:r>
      <w:r w:rsidR="4FA106B2" w:rsidRPr="005C6D34">
        <w:rPr>
          <w:rFonts w:eastAsia="Georgia" w:cstheme="minorHAnsi"/>
          <w:sz w:val="24"/>
          <w:szCs w:val="24"/>
        </w:rPr>
        <w:t xml:space="preserve"> </w:t>
      </w:r>
      <w:r w:rsidR="00A95C91" w:rsidRPr="005C6D34">
        <w:rPr>
          <w:rFonts w:eastAsia="Georgia" w:cstheme="minorHAnsi"/>
          <w:sz w:val="24"/>
          <w:szCs w:val="24"/>
        </w:rPr>
        <w:t xml:space="preserve">such as </w:t>
      </w:r>
      <w:r w:rsidR="4FA106B2" w:rsidRPr="005C6D34">
        <w:rPr>
          <w:rFonts w:eastAsia="Georgia" w:cstheme="minorHAnsi"/>
          <w:sz w:val="24"/>
          <w:szCs w:val="24"/>
        </w:rPr>
        <w:t xml:space="preserve">the competitiveness </w:t>
      </w:r>
      <w:r w:rsidR="00B3375E" w:rsidRPr="005C6D34">
        <w:rPr>
          <w:rFonts w:eastAsia="Georgia" w:cstheme="minorHAnsi"/>
          <w:sz w:val="24"/>
          <w:szCs w:val="24"/>
        </w:rPr>
        <w:t>and</w:t>
      </w:r>
      <w:r w:rsidR="4FA106B2" w:rsidRPr="005C6D34">
        <w:rPr>
          <w:rFonts w:eastAsia="Georgia" w:cstheme="minorHAnsi"/>
          <w:sz w:val="24"/>
          <w:szCs w:val="24"/>
        </w:rPr>
        <w:t xml:space="preserve"> order of elections </w:t>
      </w:r>
      <w:r w:rsidR="00B3375E" w:rsidRPr="005C6D34">
        <w:rPr>
          <w:rFonts w:eastAsia="Georgia" w:cstheme="minorHAnsi"/>
          <w:sz w:val="24"/>
          <w:szCs w:val="24"/>
        </w:rPr>
        <w:t>and</w:t>
      </w:r>
      <w:r w:rsidR="4FA106B2" w:rsidRPr="005C6D34">
        <w:rPr>
          <w:rFonts w:eastAsia="Georgia" w:cstheme="minorHAnsi"/>
          <w:sz w:val="24"/>
          <w:szCs w:val="24"/>
        </w:rPr>
        <w:t xml:space="preserve"> previous election outcomes. We s</w:t>
      </w:r>
      <w:r w:rsidR="00A95C91" w:rsidRPr="005C6D34">
        <w:rPr>
          <w:rFonts w:eastAsia="Georgia" w:cstheme="minorHAnsi"/>
          <w:sz w:val="24"/>
          <w:szCs w:val="24"/>
        </w:rPr>
        <w:t>aw</w:t>
      </w:r>
      <w:r w:rsidR="4FA106B2" w:rsidRPr="005C6D34">
        <w:rPr>
          <w:rFonts w:eastAsia="Georgia" w:cstheme="minorHAnsi"/>
          <w:sz w:val="24"/>
          <w:szCs w:val="24"/>
        </w:rPr>
        <w:t xml:space="preserve"> these patterns in the three elections</w:t>
      </w:r>
      <w:r w:rsidR="00A95C91" w:rsidRPr="005C6D34">
        <w:rPr>
          <w:rFonts w:eastAsia="Georgia" w:cstheme="minorHAnsi"/>
          <w:sz w:val="24"/>
          <w:szCs w:val="24"/>
        </w:rPr>
        <w:t xml:space="preserve"> studied</w:t>
      </w:r>
      <w:r w:rsidR="4FA106B2" w:rsidRPr="005C6D34">
        <w:rPr>
          <w:rFonts w:eastAsia="Georgia" w:cstheme="minorHAnsi"/>
          <w:sz w:val="24"/>
          <w:szCs w:val="24"/>
        </w:rPr>
        <w:t xml:space="preserve">. Anambra state has </w:t>
      </w:r>
      <w:r w:rsidR="005B2E23" w:rsidRPr="005C6D34">
        <w:rPr>
          <w:rFonts w:eastAsia="Georgia" w:cstheme="minorHAnsi"/>
          <w:sz w:val="24"/>
          <w:szCs w:val="24"/>
        </w:rPr>
        <w:t xml:space="preserve">had </w:t>
      </w:r>
      <w:r w:rsidR="4FA106B2" w:rsidRPr="005C6D34">
        <w:rPr>
          <w:rFonts w:eastAsia="Georgia" w:cstheme="minorHAnsi"/>
          <w:sz w:val="24"/>
          <w:szCs w:val="24"/>
        </w:rPr>
        <w:t>a historic</w:t>
      </w:r>
      <w:r w:rsidR="005B2E23" w:rsidRPr="005C6D34">
        <w:rPr>
          <w:rFonts w:eastAsia="Georgia" w:cstheme="minorHAnsi"/>
          <w:sz w:val="24"/>
          <w:szCs w:val="24"/>
        </w:rPr>
        <w:t>al</w:t>
      </w:r>
      <w:r w:rsidR="4FA106B2" w:rsidRPr="005C6D34">
        <w:rPr>
          <w:rFonts w:eastAsia="Georgia" w:cstheme="minorHAnsi"/>
          <w:sz w:val="24"/>
          <w:szCs w:val="24"/>
        </w:rPr>
        <w:t xml:space="preserve"> record of low</w:t>
      </w:r>
      <w:r w:rsidR="00B3375E" w:rsidRPr="005C6D34">
        <w:rPr>
          <w:rFonts w:eastAsia="Georgia" w:cstheme="minorHAnsi"/>
          <w:sz w:val="24"/>
          <w:szCs w:val="24"/>
        </w:rPr>
        <w:t xml:space="preserve"> </w:t>
      </w:r>
      <w:r w:rsidR="4FA106B2" w:rsidRPr="005C6D34">
        <w:rPr>
          <w:rFonts w:eastAsia="Georgia" w:cstheme="minorHAnsi"/>
          <w:sz w:val="24"/>
          <w:szCs w:val="24"/>
        </w:rPr>
        <w:t xml:space="preserve">voter turnout since 2013. </w:t>
      </w:r>
      <w:r w:rsidR="003D4740" w:rsidRPr="005C6D34">
        <w:rPr>
          <w:rFonts w:eastAsia="Georgia" w:cstheme="minorHAnsi"/>
          <w:sz w:val="24"/>
          <w:szCs w:val="24"/>
        </w:rPr>
        <w:t>In addition</w:t>
      </w:r>
      <w:r w:rsidR="4FA106B2" w:rsidRPr="005C6D34">
        <w:rPr>
          <w:rFonts w:eastAsia="Georgia" w:cstheme="minorHAnsi"/>
          <w:sz w:val="24"/>
          <w:szCs w:val="24"/>
        </w:rPr>
        <w:t xml:space="preserve">, the </w:t>
      </w:r>
      <w:r w:rsidR="003D4740" w:rsidRPr="005C6D34">
        <w:rPr>
          <w:rFonts w:eastAsia="Georgia" w:cstheme="minorHAnsi"/>
          <w:sz w:val="24"/>
          <w:szCs w:val="24"/>
        </w:rPr>
        <w:t>same party, the All Progressives Gr</w:t>
      </w:r>
      <w:r w:rsidR="00B3375E" w:rsidRPr="005C6D34">
        <w:rPr>
          <w:rFonts w:eastAsia="Georgia" w:cstheme="minorHAnsi"/>
          <w:sz w:val="24"/>
          <w:szCs w:val="24"/>
        </w:rPr>
        <w:t>and</w:t>
      </w:r>
      <w:r w:rsidR="003D4740" w:rsidRPr="005C6D34">
        <w:rPr>
          <w:rFonts w:eastAsia="Georgia" w:cstheme="minorHAnsi"/>
          <w:sz w:val="24"/>
          <w:szCs w:val="24"/>
        </w:rPr>
        <w:t xml:space="preserve"> Alli</w:t>
      </w:r>
      <w:r w:rsidR="00A95C91" w:rsidRPr="005C6D34">
        <w:rPr>
          <w:rFonts w:eastAsia="Georgia" w:cstheme="minorHAnsi"/>
          <w:sz w:val="24"/>
          <w:szCs w:val="24"/>
        </w:rPr>
        <w:t>ance (APGA), has won the state</w:t>
      </w:r>
      <w:r w:rsidR="003D4740" w:rsidRPr="005C6D34">
        <w:rPr>
          <w:rFonts w:eastAsia="Georgia" w:cstheme="minorHAnsi"/>
          <w:sz w:val="24"/>
          <w:szCs w:val="24"/>
        </w:rPr>
        <w:t xml:space="preserve"> gubernatorial </w:t>
      </w:r>
      <w:r w:rsidR="003D4740" w:rsidRPr="005C6D34">
        <w:rPr>
          <w:rFonts w:eastAsia="Georgia" w:cstheme="minorHAnsi"/>
          <w:sz w:val="24"/>
          <w:szCs w:val="24"/>
        </w:rPr>
        <w:lastRenderedPageBreak/>
        <w:t>elections</w:t>
      </w:r>
      <w:r w:rsidR="4FA106B2" w:rsidRPr="005C6D34">
        <w:rPr>
          <w:rFonts w:eastAsia="Georgia" w:cstheme="minorHAnsi"/>
          <w:sz w:val="24"/>
          <w:szCs w:val="24"/>
        </w:rPr>
        <w:t xml:space="preserve"> since 2006. Also, the gubernatorial election falls in </w:t>
      </w:r>
      <w:r w:rsidR="00BF767A" w:rsidRPr="005C6D34">
        <w:rPr>
          <w:rFonts w:eastAsia="Georgia" w:cstheme="minorHAnsi"/>
          <w:sz w:val="24"/>
          <w:szCs w:val="24"/>
        </w:rPr>
        <w:t>the off</w:t>
      </w:r>
      <w:r w:rsidR="00A95C91" w:rsidRPr="005C6D34">
        <w:rPr>
          <w:rFonts w:eastAsia="Georgia" w:cstheme="minorHAnsi"/>
          <w:sz w:val="24"/>
          <w:szCs w:val="24"/>
        </w:rPr>
        <w:t>-</w:t>
      </w:r>
      <w:r w:rsidR="00BF767A" w:rsidRPr="005C6D34">
        <w:rPr>
          <w:rFonts w:eastAsia="Georgia" w:cstheme="minorHAnsi"/>
          <w:sz w:val="24"/>
          <w:szCs w:val="24"/>
        </w:rPr>
        <w:t>cycle election</w:t>
      </w:r>
      <w:r w:rsidR="4FA106B2" w:rsidRPr="005C6D34">
        <w:rPr>
          <w:rFonts w:eastAsia="Georgia" w:cstheme="minorHAnsi"/>
          <w:sz w:val="24"/>
          <w:szCs w:val="24"/>
        </w:rPr>
        <w:t xml:space="preserve"> season</w:t>
      </w:r>
      <w:r w:rsidR="005B2E23" w:rsidRPr="005C6D34">
        <w:rPr>
          <w:rFonts w:eastAsia="Georgia" w:cstheme="minorHAnsi"/>
          <w:sz w:val="24"/>
          <w:szCs w:val="24"/>
        </w:rPr>
        <w:t>, which could shape the voter attitude</w:t>
      </w:r>
      <w:r w:rsidR="4FA106B2" w:rsidRPr="005C6D34">
        <w:rPr>
          <w:rFonts w:eastAsia="Georgia" w:cstheme="minorHAnsi"/>
          <w:sz w:val="24"/>
          <w:szCs w:val="24"/>
        </w:rPr>
        <w:t xml:space="preserve">s. The Ekiti </w:t>
      </w:r>
      <w:r w:rsidR="00B3375E" w:rsidRPr="005C6D34">
        <w:rPr>
          <w:rFonts w:eastAsia="Georgia" w:cstheme="minorHAnsi"/>
          <w:sz w:val="24"/>
          <w:szCs w:val="24"/>
        </w:rPr>
        <w:t>and</w:t>
      </w:r>
      <w:r w:rsidR="4FA106B2" w:rsidRPr="005C6D34">
        <w:rPr>
          <w:rFonts w:eastAsia="Georgia" w:cstheme="minorHAnsi"/>
          <w:sz w:val="24"/>
          <w:szCs w:val="24"/>
        </w:rPr>
        <w:t xml:space="preserve"> Osun gubernatorial elections seem to provide the opening for the election season in Nigeria</w:t>
      </w:r>
      <w:r w:rsidR="00BF767A" w:rsidRPr="005C6D34">
        <w:rPr>
          <w:rFonts w:eastAsia="Georgia" w:cstheme="minorHAnsi"/>
          <w:sz w:val="24"/>
          <w:szCs w:val="24"/>
        </w:rPr>
        <w:t>,</w:t>
      </w:r>
      <w:r w:rsidR="4FA106B2" w:rsidRPr="005C6D34">
        <w:rPr>
          <w:rFonts w:eastAsia="Georgia" w:cstheme="minorHAnsi"/>
          <w:sz w:val="24"/>
          <w:szCs w:val="24"/>
        </w:rPr>
        <w:t xml:space="preserve"> which may explain </w:t>
      </w:r>
      <w:r w:rsidR="00A95C91" w:rsidRPr="005C6D34">
        <w:rPr>
          <w:rFonts w:eastAsia="Georgia" w:cstheme="minorHAnsi"/>
          <w:sz w:val="24"/>
          <w:szCs w:val="24"/>
        </w:rPr>
        <w:t xml:space="preserve">the </w:t>
      </w:r>
      <w:r w:rsidR="4FA106B2" w:rsidRPr="005C6D34">
        <w:rPr>
          <w:rFonts w:eastAsia="Georgia" w:cstheme="minorHAnsi"/>
          <w:sz w:val="24"/>
          <w:szCs w:val="24"/>
        </w:rPr>
        <w:t xml:space="preserve">relatively higher turnout than </w:t>
      </w:r>
      <w:r w:rsidR="00A95C91" w:rsidRPr="005C6D34">
        <w:rPr>
          <w:rFonts w:eastAsia="Georgia" w:cstheme="minorHAnsi"/>
          <w:sz w:val="24"/>
          <w:szCs w:val="24"/>
        </w:rPr>
        <w:t xml:space="preserve">seen by </w:t>
      </w:r>
      <w:r w:rsidR="4FA106B2" w:rsidRPr="005C6D34">
        <w:rPr>
          <w:rFonts w:eastAsia="Georgia" w:cstheme="minorHAnsi"/>
          <w:sz w:val="24"/>
          <w:szCs w:val="24"/>
        </w:rPr>
        <w:t xml:space="preserve">their Anambra state counterpart. </w:t>
      </w:r>
    </w:p>
    <w:p w14:paraId="692F687B" w14:textId="6A2F7FD3" w:rsidR="4FA106B2" w:rsidRPr="005C6D34" w:rsidRDefault="0023086B" w:rsidP="000A687F">
      <w:pPr>
        <w:spacing w:line="360" w:lineRule="auto"/>
        <w:jc w:val="both"/>
        <w:rPr>
          <w:rFonts w:cstheme="minorHAnsi"/>
          <w:sz w:val="24"/>
          <w:szCs w:val="24"/>
        </w:rPr>
      </w:pPr>
      <w:r w:rsidRPr="005C6D34">
        <w:rPr>
          <w:rFonts w:eastAsia="Georgia" w:cstheme="minorHAnsi"/>
          <w:sz w:val="24"/>
          <w:szCs w:val="24"/>
        </w:rPr>
        <w:t xml:space="preserve">The </w:t>
      </w:r>
      <w:r w:rsidR="00A95C91" w:rsidRPr="005C6D34">
        <w:rPr>
          <w:rFonts w:eastAsia="Georgia" w:cstheme="minorHAnsi"/>
          <w:sz w:val="24"/>
          <w:szCs w:val="24"/>
        </w:rPr>
        <w:t>introduction of</w:t>
      </w:r>
      <w:r w:rsidR="4FA106B2" w:rsidRPr="005C6D34">
        <w:rPr>
          <w:rFonts w:eastAsia="Georgia" w:cstheme="minorHAnsi"/>
          <w:sz w:val="24"/>
          <w:szCs w:val="24"/>
        </w:rPr>
        <w:t xml:space="preserve"> technology to the voting process seems to have increased voter confidence in the electoral process </w:t>
      </w:r>
      <w:r w:rsidR="007F4228" w:rsidRPr="005C6D34">
        <w:rPr>
          <w:rFonts w:eastAsia="Georgia" w:cstheme="minorHAnsi"/>
          <w:sz w:val="24"/>
          <w:szCs w:val="24"/>
        </w:rPr>
        <w:t xml:space="preserve">by increasing </w:t>
      </w:r>
      <w:r w:rsidR="00A95C91" w:rsidRPr="005C6D34">
        <w:rPr>
          <w:rFonts w:eastAsia="Georgia" w:cstheme="minorHAnsi"/>
          <w:sz w:val="24"/>
          <w:szCs w:val="24"/>
        </w:rPr>
        <w:t xml:space="preserve">the number of </w:t>
      </w:r>
      <w:r w:rsidR="007F4228" w:rsidRPr="005C6D34">
        <w:rPr>
          <w:rFonts w:eastAsia="Georgia" w:cstheme="minorHAnsi"/>
          <w:sz w:val="24"/>
          <w:szCs w:val="24"/>
        </w:rPr>
        <w:t>new</w:t>
      </w:r>
      <w:r w:rsidR="00A95C91" w:rsidRPr="005C6D34">
        <w:rPr>
          <w:rFonts w:eastAsia="Georgia" w:cstheme="minorHAnsi"/>
          <w:sz w:val="24"/>
          <w:szCs w:val="24"/>
        </w:rPr>
        <w:t>ly</w:t>
      </w:r>
      <w:r w:rsidR="007F4228" w:rsidRPr="005C6D34">
        <w:rPr>
          <w:rFonts w:eastAsia="Georgia" w:cstheme="minorHAnsi"/>
          <w:sz w:val="24"/>
          <w:szCs w:val="24"/>
        </w:rPr>
        <w:t xml:space="preserve"> registered</w:t>
      </w:r>
      <w:r w:rsidR="4FA106B2" w:rsidRPr="005C6D34">
        <w:rPr>
          <w:rFonts w:eastAsia="Georgia" w:cstheme="minorHAnsi"/>
          <w:sz w:val="24"/>
          <w:szCs w:val="24"/>
        </w:rPr>
        <w:t xml:space="preserve"> voters. Anambra state </w:t>
      </w:r>
      <w:r w:rsidR="009D5FE7" w:rsidRPr="005C6D34">
        <w:rPr>
          <w:rFonts w:eastAsia="Georgia" w:cstheme="minorHAnsi"/>
          <w:sz w:val="24"/>
          <w:szCs w:val="24"/>
        </w:rPr>
        <w:t xml:space="preserve">increased </w:t>
      </w:r>
      <w:r w:rsidR="00E25355" w:rsidRPr="005C6D34">
        <w:rPr>
          <w:rFonts w:eastAsia="Georgia" w:cstheme="minorHAnsi"/>
          <w:sz w:val="24"/>
          <w:szCs w:val="24"/>
        </w:rPr>
        <w:t xml:space="preserve">voter registration by </w:t>
      </w:r>
      <w:r w:rsidR="00CB20D1" w:rsidRPr="005C6D34">
        <w:rPr>
          <w:rFonts w:eastAsia="Georgia" w:cstheme="minorHAnsi"/>
          <w:sz w:val="24"/>
          <w:szCs w:val="24"/>
        </w:rPr>
        <w:t>362,609</w:t>
      </w:r>
      <w:r w:rsidR="00E25355" w:rsidRPr="005C6D34">
        <w:rPr>
          <w:rFonts w:eastAsia="Georgia" w:cstheme="minorHAnsi"/>
          <w:sz w:val="24"/>
          <w:szCs w:val="24"/>
        </w:rPr>
        <w:t xml:space="preserve"> in 2022, the highest </w:t>
      </w:r>
      <w:r w:rsidR="00A95C91" w:rsidRPr="005C6D34">
        <w:rPr>
          <w:rFonts w:eastAsia="Georgia" w:cstheme="minorHAnsi"/>
          <w:sz w:val="24"/>
          <w:szCs w:val="24"/>
        </w:rPr>
        <w:t xml:space="preserve">number of </w:t>
      </w:r>
      <w:r w:rsidR="00E25355" w:rsidRPr="005C6D34">
        <w:rPr>
          <w:rFonts w:eastAsia="Georgia" w:cstheme="minorHAnsi"/>
          <w:sz w:val="24"/>
          <w:szCs w:val="24"/>
        </w:rPr>
        <w:t>registered voters</w:t>
      </w:r>
      <w:r w:rsidR="4FA106B2" w:rsidRPr="005C6D34">
        <w:rPr>
          <w:rFonts w:eastAsia="Georgia" w:cstheme="minorHAnsi"/>
          <w:sz w:val="24"/>
          <w:szCs w:val="24"/>
        </w:rPr>
        <w:t xml:space="preserve"> </w:t>
      </w:r>
      <w:r w:rsidR="00A95C91" w:rsidRPr="005C6D34">
        <w:rPr>
          <w:rFonts w:eastAsia="Georgia" w:cstheme="minorHAnsi"/>
          <w:sz w:val="24"/>
          <w:szCs w:val="24"/>
        </w:rPr>
        <w:t xml:space="preserve">in </w:t>
      </w:r>
      <w:r w:rsidR="4FA106B2" w:rsidRPr="005C6D34">
        <w:rPr>
          <w:rFonts w:eastAsia="Georgia" w:cstheme="minorHAnsi"/>
          <w:sz w:val="24"/>
          <w:szCs w:val="24"/>
        </w:rPr>
        <w:t xml:space="preserve">the three states. </w:t>
      </w:r>
      <w:r w:rsidR="00CB20D1" w:rsidRPr="005C6D34">
        <w:rPr>
          <w:rFonts w:eastAsia="Georgia" w:cstheme="minorHAnsi"/>
          <w:sz w:val="24"/>
          <w:szCs w:val="24"/>
        </w:rPr>
        <w:t xml:space="preserve">The rise </w:t>
      </w:r>
      <w:r w:rsidR="001C5C62" w:rsidRPr="005C6D34">
        <w:rPr>
          <w:rFonts w:eastAsia="Georgia" w:cstheme="minorHAnsi"/>
          <w:sz w:val="24"/>
          <w:szCs w:val="24"/>
        </w:rPr>
        <w:t xml:space="preserve">can be attributed to </w:t>
      </w:r>
      <w:r w:rsidR="00AE4350" w:rsidRPr="005C6D34">
        <w:rPr>
          <w:rFonts w:eastAsia="Georgia" w:cstheme="minorHAnsi"/>
          <w:sz w:val="24"/>
          <w:szCs w:val="24"/>
        </w:rPr>
        <w:t xml:space="preserve">the </w:t>
      </w:r>
      <w:r w:rsidR="00077314" w:rsidRPr="005C6D34">
        <w:rPr>
          <w:rFonts w:eastAsia="Georgia" w:cstheme="minorHAnsi"/>
          <w:sz w:val="24"/>
          <w:szCs w:val="24"/>
        </w:rPr>
        <w:t xml:space="preserve">momentum of the </w:t>
      </w:r>
      <w:r w:rsidR="006A40CC" w:rsidRPr="005C6D34">
        <w:rPr>
          <w:rFonts w:eastAsia="Georgia" w:cstheme="minorHAnsi"/>
          <w:sz w:val="24"/>
          <w:szCs w:val="24"/>
        </w:rPr>
        <w:t>off</w:t>
      </w:r>
      <w:r w:rsidR="00A95C91" w:rsidRPr="005C6D34">
        <w:rPr>
          <w:rFonts w:eastAsia="Georgia" w:cstheme="minorHAnsi"/>
          <w:sz w:val="24"/>
          <w:szCs w:val="24"/>
        </w:rPr>
        <w:t>-</w:t>
      </w:r>
      <w:r w:rsidR="006A40CC" w:rsidRPr="005C6D34">
        <w:rPr>
          <w:rFonts w:eastAsia="Georgia" w:cstheme="minorHAnsi"/>
          <w:sz w:val="24"/>
          <w:szCs w:val="24"/>
        </w:rPr>
        <w:t>cycle gubernatorial elections</w:t>
      </w:r>
      <w:r w:rsidR="00895A21" w:rsidRPr="005C6D34">
        <w:rPr>
          <w:rFonts w:eastAsia="Georgia" w:cstheme="minorHAnsi"/>
          <w:sz w:val="24"/>
          <w:szCs w:val="24"/>
        </w:rPr>
        <w:t>,</w:t>
      </w:r>
      <w:r w:rsidR="004212A2" w:rsidRPr="005C6D34">
        <w:rPr>
          <w:rFonts w:eastAsia="Georgia" w:cstheme="minorHAnsi"/>
          <w:sz w:val="24"/>
          <w:szCs w:val="24"/>
        </w:rPr>
        <w:t xml:space="preserve"> </w:t>
      </w:r>
      <w:r w:rsidR="00A74268" w:rsidRPr="005C6D34">
        <w:rPr>
          <w:rFonts w:eastAsia="Georgia" w:cstheme="minorHAnsi"/>
          <w:sz w:val="24"/>
          <w:szCs w:val="24"/>
        </w:rPr>
        <w:t>given</w:t>
      </w:r>
      <w:r w:rsidR="00392E18" w:rsidRPr="005C6D34">
        <w:rPr>
          <w:rFonts w:eastAsia="Georgia" w:cstheme="minorHAnsi"/>
          <w:sz w:val="24"/>
          <w:szCs w:val="24"/>
        </w:rPr>
        <w:t xml:space="preserve"> </w:t>
      </w:r>
      <w:r w:rsidR="00A95C91" w:rsidRPr="005C6D34">
        <w:rPr>
          <w:rFonts w:eastAsia="Georgia" w:cstheme="minorHAnsi"/>
          <w:sz w:val="24"/>
          <w:szCs w:val="24"/>
        </w:rPr>
        <w:t>they</w:t>
      </w:r>
      <w:r w:rsidR="00392E18" w:rsidRPr="005C6D34">
        <w:rPr>
          <w:rFonts w:eastAsia="Georgia" w:cstheme="minorHAnsi"/>
          <w:sz w:val="24"/>
          <w:szCs w:val="24"/>
        </w:rPr>
        <w:t xml:space="preserve"> </w:t>
      </w:r>
      <w:r w:rsidR="00A74268" w:rsidRPr="005C6D34">
        <w:rPr>
          <w:rFonts w:eastAsia="Georgia" w:cstheme="minorHAnsi"/>
          <w:sz w:val="24"/>
          <w:szCs w:val="24"/>
        </w:rPr>
        <w:t xml:space="preserve">happened a few months apart from </w:t>
      </w:r>
      <w:r w:rsidR="00A95C91" w:rsidRPr="005C6D34">
        <w:rPr>
          <w:rFonts w:eastAsia="Georgia" w:cstheme="minorHAnsi"/>
          <w:sz w:val="24"/>
          <w:szCs w:val="24"/>
        </w:rPr>
        <w:t xml:space="preserve">the elections in </w:t>
      </w:r>
      <w:r w:rsidR="00A74268" w:rsidRPr="005C6D34">
        <w:rPr>
          <w:rFonts w:eastAsia="Georgia" w:cstheme="minorHAnsi"/>
          <w:sz w:val="24"/>
          <w:szCs w:val="24"/>
        </w:rPr>
        <w:t>Ekiti</w:t>
      </w:r>
      <w:r w:rsidR="006A40CC" w:rsidRPr="005C6D34">
        <w:rPr>
          <w:rFonts w:eastAsia="Georgia" w:cstheme="minorHAnsi"/>
          <w:sz w:val="24"/>
          <w:szCs w:val="24"/>
        </w:rPr>
        <w:t xml:space="preserve">. </w:t>
      </w:r>
      <w:r w:rsidR="4FA106B2" w:rsidRPr="005C6D34">
        <w:rPr>
          <w:rFonts w:eastAsia="Georgia" w:cstheme="minorHAnsi"/>
          <w:sz w:val="24"/>
          <w:szCs w:val="24"/>
        </w:rPr>
        <w:t>The number</w:t>
      </w:r>
      <w:r w:rsidR="00A95C91" w:rsidRPr="005C6D34">
        <w:rPr>
          <w:rFonts w:eastAsia="Georgia" w:cstheme="minorHAnsi"/>
          <w:sz w:val="24"/>
          <w:szCs w:val="24"/>
        </w:rPr>
        <w:t>s</w:t>
      </w:r>
      <w:r w:rsidR="4FA106B2" w:rsidRPr="005C6D34">
        <w:rPr>
          <w:rFonts w:eastAsia="Georgia" w:cstheme="minorHAnsi"/>
          <w:sz w:val="24"/>
          <w:szCs w:val="24"/>
        </w:rPr>
        <w:t xml:space="preserve"> of registered voters </w:t>
      </w:r>
      <w:r w:rsidR="006A40CC" w:rsidRPr="005C6D34">
        <w:rPr>
          <w:rFonts w:eastAsia="Georgia" w:cstheme="minorHAnsi"/>
          <w:sz w:val="24"/>
          <w:szCs w:val="24"/>
        </w:rPr>
        <w:t xml:space="preserve">for Anambra </w:t>
      </w:r>
      <w:r w:rsidR="00087427" w:rsidRPr="005C6D34">
        <w:rPr>
          <w:rFonts w:eastAsia="Georgia" w:cstheme="minorHAnsi"/>
          <w:sz w:val="24"/>
          <w:szCs w:val="24"/>
        </w:rPr>
        <w:t>&amp;</w:t>
      </w:r>
      <w:r w:rsidR="006A40CC" w:rsidRPr="005C6D34">
        <w:rPr>
          <w:rFonts w:eastAsia="Georgia" w:cstheme="minorHAnsi"/>
          <w:sz w:val="24"/>
          <w:szCs w:val="24"/>
        </w:rPr>
        <w:t xml:space="preserve"> </w:t>
      </w:r>
      <w:r w:rsidR="4FA106B2" w:rsidRPr="005C6D34">
        <w:rPr>
          <w:rFonts w:eastAsia="Georgia" w:cstheme="minorHAnsi"/>
          <w:sz w:val="24"/>
          <w:szCs w:val="24"/>
        </w:rPr>
        <w:t xml:space="preserve">Ekiti states </w:t>
      </w:r>
      <w:r w:rsidR="00A95C91" w:rsidRPr="005C6D34">
        <w:rPr>
          <w:rFonts w:eastAsia="Georgia" w:cstheme="minorHAnsi"/>
          <w:sz w:val="24"/>
          <w:szCs w:val="24"/>
        </w:rPr>
        <w:t>st</w:t>
      </w:r>
      <w:r w:rsidR="00B3375E" w:rsidRPr="005C6D34">
        <w:rPr>
          <w:rFonts w:eastAsia="Georgia" w:cstheme="minorHAnsi"/>
          <w:sz w:val="24"/>
          <w:szCs w:val="24"/>
        </w:rPr>
        <w:t>and</w:t>
      </w:r>
      <w:r w:rsidR="00A95C91" w:rsidRPr="005C6D34">
        <w:rPr>
          <w:rFonts w:eastAsia="Georgia" w:cstheme="minorHAnsi"/>
          <w:sz w:val="24"/>
          <w:szCs w:val="24"/>
        </w:rPr>
        <w:t xml:space="preserve"> </w:t>
      </w:r>
      <w:r w:rsidR="4FA106B2" w:rsidRPr="005C6D34">
        <w:rPr>
          <w:rFonts w:eastAsia="Georgia" w:cstheme="minorHAnsi"/>
          <w:sz w:val="24"/>
          <w:szCs w:val="24"/>
        </w:rPr>
        <w:t xml:space="preserve">at </w:t>
      </w:r>
      <w:r w:rsidR="006A40CC" w:rsidRPr="005C6D34">
        <w:rPr>
          <w:rFonts w:eastAsia="Georgia" w:cstheme="minorHAnsi"/>
          <w:sz w:val="24"/>
          <w:szCs w:val="24"/>
        </w:rPr>
        <w:t xml:space="preserve">313,471 </w:t>
      </w:r>
      <w:r w:rsidR="00B3375E" w:rsidRPr="005C6D34">
        <w:rPr>
          <w:rFonts w:eastAsia="Georgia" w:cstheme="minorHAnsi"/>
          <w:sz w:val="24"/>
          <w:szCs w:val="24"/>
        </w:rPr>
        <w:t>and</w:t>
      </w:r>
      <w:r w:rsidR="006A40CC" w:rsidRPr="005C6D34">
        <w:rPr>
          <w:rFonts w:eastAsia="Georgia" w:cstheme="minorHAnsi"/>
          <w:sz w:val="24"/>
          <w:szCs w:val="24"/>
        </w:rPr>
        <w:t xml:space="preserve"> </w:t>
      </w:r>
      <w:r w:rsidR="0012164C" w:rsidRPr="005C6D34">
        <w:rPr>
          <w:rFonts w:eastAsia="Georgia" w:cstheme="minorHAnsi"/>
          <w:sz w:val="24"/>
          <w:szCs w:val="24"/>
        </w:rPr>
        <w:t>124,844</w:t>
      </w:r>
      <w:r w:rsidR="005B7377" w:rsidRPr="005C6D34">
        <w:rPr>
          <w:rFonts w:eastAsia="Georgia" w:cstheme="minorHAnsi"/>
          <w:sz w:val="24"/>
          <w:szCs w:val="24"/>
        </w:rPr>
        <w:t xml:space="preserve"> – that is</w:t>
      </w:r>
      <w:r w:rsidR="00056862" w:rsidRPr="005C6D34">
        <w:rPr>
          <w:rFonts w:eastAsia="Georgia" w:cstheme="minorHAnsi"/>
          <w:sz w:val="24"/>
          <w:szCs w:val="24"/>
        </w:rPr>
        <w:t xml:space="preserve"> 2.</w:t>
      </w:r>
      <w:r w:rsidR="00182845" w:rsidRPr="005C6D34">
        <w:rPr>
          <w:rFonts w:eastAsia="Georgia" w:cstheme="minorHAnsi"/>
          <w:sz w:val="24"/>
          <w:szCs w:val="24"/>
        </w:rPr>
        <w:t>5</w:t>
      </w:r>
      <w:r w:rsidR="00056862" w:rsidRPr="005C6D34">
        <w:rPr>
          <w:rFonts w:eastAsia="Georgia" w:cstheme="minorHAnsi"/>
          <w:sz w:val="24"/>
          <w:szCs w:val="24"/>
        </w:rPr>
        <w:t xml:space="preserve">% and 1% of the </w:t>
      </w:r>
      <w:r w:rsidR="005B7377" w:rsidRPr="005C6D34">
        <w:rPr>
          <w:rFonts w:eastAsia="Georgia" w:cstheme="minorHAnsi"/>
          <w:sz w:val="24"/>
          <w:szCs w:val="24"/>
        </w:rPr>
        <w:t>total numbers, respectively.</w:t>
      </w:r>
      <w:r w:rsidR="00182845" w:rsidRPr="005C6D34">
        <w:rPr>
          <w:rFonts w:eastAsia="Georgia" w:cstheme="minorHAnsi"/>
          <w:sz w:val="24"/>
          <w:szCs w:val="24"/>
        </w:rPr>
        <w:t xml:space="preserve"> Osun stat</w:t>
      </w:r>
      <w:r w:rsidR="009607A7" w:rsidRPr="005C6D34">
        <w:rPr>
          <w:rFonts w:eastAsia="Georgia" w:cstheme="minorHAnsi"/>
          <w:sz w:val="24"/>
          <w:szCs w:val="24"/>
        </w:rPr>
        <w:t>e has 2.9% of the country’s new registrants.</w:t>
      </w:r>
      <w:r w:rsidR="005B7377" w:rsidRPr="005C6D34">
        <w:rPr>
          <w:rFonts w:eastAsia="Georgia" w:cstheme="minorHAnsi"/>
          <w:sz w:val="24"/>
          <w:szCs w:val="24"/>
        </w:rPr>
        <w:t xml:space="preserve"> </w:t>
      </w:r>
      <w:r w:rsidR="00A95C91" w:rsidRPr="005C6D34">
        <w:rPr>
          <w:rFonts w:eastAsia="Georgia" w:cstheme="minorHAnsi"/>
          <w:sz w:val="24"/>
          <w:szCs w:val="24"/>
        </w:rPr>
        <w:t xml:space="preserve">A </w:t>
      </w:r>
      <w:r w:rsidR="4FA106B2" w:rsidRPr="005C6D34">
        <w:rPr>
          <w:rFonts w:eastAsia="Georgia" w:cstheme="minorHAnsi"/>
          <w:sz w:val="24"/>
          <w:szCs w:val="24"/>
        </w:rPr>
        <w:t>key attribute of this was a successful digital mobili</w:t>
      </w:r>
      <w:r w:rsidR="00721E6B" w:rsidRPr="005C6D34">
        <w:rPr>
          <w:rFonts w:eastAsia="Georgia" w:cstheme="minorHAnsi"/>
          <w:sz w:val="24"/>
          <w:szCs w:val="24"/>
        </w:rPr>
        <w:t>s</w:t>
      </w:r>
      <w:r w:rsidR="4FA106B2" w:rsidRPr="005C6D34">
        <w:rPr>
          <w:rFonts w:eastAsia="Georgia" w:cstheme="minorHAnsi"/>
          <w:sz w:val="24"/>
          <w:szCs w:val="24"/>
        </w:rPr>
        <w:t xml:space="preserve">ation effort to get more young people to register to vote </w:t>
      </w:r>
      <w:r w:rsidR="00A95C91" w:rsidRPr="005C6D34">
        <w:rPr>
          <w:rFonts w:eastAsia="Georgia" w:cstheme="minorHAnsi"/>
          <w:sz w:val="24"/>
          <w:szCs w:val="24"/>
        </w:rPr>
        <w:t>along with the</w:t>
      </w:r>
      <w:r w:rsidR="4FA106B2" w:rsidRPr="005C6D34">
        <w:rPr>
          <w:rFonts w:eastAsia="Georgia" w:cstheme="minorHAnsi"/>
          <w:sz w:val="24"/>
          <w:szCs w:val="24"/>
        </w:rPr>
        <w:t xml:space="preserve"> </w:t>
      </w:r>
      <w:r w:rsidR="00895A21" w:rsidRPr="005C6D34">
        <w:rPr>
          <w:rFonts w:eastAsia="Georgia" w:cstheme="minorHAnsi"/>
          <w:sz w:val="24"/>
          <w:szCs w:val="24"/>
        </w:rPr>
        <w:t>optimism</w:t>
      </w:r>
      <w:r w:rsidR="008837CE" w:rsidRPr="005C6D34">
        <w:rPr>
          <w:rFonts w:eastAsia="Georgia" w:cstheme="minorHAnsi"/>
          <w:sz w:val="24"/>
          <w:szCs w:val="24"/>
        </w:rPr>
        <w:t xml:space="preserve"> around</w:t>
      </w:r>
      <w:r w:rsidR="4FA106B2" w:rsidRPr="005C6D34">
        <w:rPr>
          <w:rFonts w:eastAsia="Georgia" w:cstheme="minorHAnsi"/>
          <w:sz w:val="24"/>
          <w:szCs w:val="24"/>
        </w:rPr>
        <w:t xml:space="preserve"> the Electoral Act </w:t>
      </w:r>
      <w:r w:rsidR="00A95C91" w:rsidRPr="005C6D34">
        <w:rPr>
          <w:rFonts w:eastAsia="Georgia" w:cstheme="minorHAnsi"/>
          <w:sz w:val="24"/>
          <w:szCs w:val="24"/>
        </w:rPr>
        <w:t>(</w:t>
      </w:r>
      <w:r w:rsidR="4FA106B2" w:rsidRPr="005C6D34">
        <w:rPr>
          <w:rFonts w:eastAsia="Georgia" w:cstheme="minorHAnsi"/>
          <w:sz w:val="24"/>
          <w:szCs w:val="24"/>
        </w:rPr>
        <w:t>2022</w:t>
      </w:r>
      <w:r w:rsidR="00A95C91" w:rsidRPr="005C6D34">
        <w:rPr>
          <w:rFonts w:eastAsia="Georgia" w:cstheme="minorHAnsi"/>
          <w:sz w:val="24"/>
          <w:szCs w:val="24"/>
        </w:rPr>
        <w:t>)</w:t>
      </w:r>
      <w:r w:rsidR="4FA106B2" w:rsidRPr="005C6D34">
        <w:rPr>
          <w:rFonts w:eastAsia="Georgia" w:cstheme="minorHAnsi"/>
          <w:sz w:val="24"/>
          <w:szCs w:val="24"/>
        </w:rPr>
        <w:t xml:space="preserve">. </w:t>
      </w:r>
      <w:r w:rsidR="00A95C91" w:rsidRPr="005C6D34">
        <w:rPr>
          <w:rFonts w:eastAsia="Georgia" w:cstheme="minorHAnsi"/>
          <w:sz w:val="24"/>
          <w:szCs w:val="24"/>
        </w:rPr>
        <w:t>However, encouraging</w:t>
      </w:r>
      <w:r w:rsidR="4FA106B2" w:rsidRPr="005C6D34">
        <w:rPr>
          <w:rFonts w:eastAsia="Georgia" w:cstheme="minorHAnsi"/>
          <w:sz w:val="24"/>
          <w:szCs w:val="24"/>
        </w:rPr>
        <w:t xml:space="preserve"> young people to register </w:t>
      </w:r>
      <w:r w:rsidR="00B3375E" w:rsidRPr="005C6D34">
        <w:rPr>
          <w:rFonts w:eastAsia="Georgia" w:cstheme="minorHAnsi"/>
          <w:sz w:val="24"/>
          <w:szCs w:val="24"/>
        </w:rPr>
        <w:t>and</w:t>
      </w:r>
      <w:r w:rsidR="00A95C91" w:rsidRPr="005C6D34">
        <w:rPr>
          <w:rFonts w:eastAsia="Georgia" w:cstheme="minorHAnsi"/>
          <w:sz w:val="24"/>
          <w:szCs w:val="24"/>
        </w:rPr>
        <w:t xml:space="preserve"> then</w:t>
      </w:r>
      <w:r w:rsidR="4FA106B2" w:rsidRPr="005C6D34">
        <w:rPr>
          <w:rFonts w:eastAsia="Georgia" w:cstheme="minorHAnsi"/>
          <w:sz w:val="24"/>
          <w:szCs w:val="24"/>
        </w:rPr>
        <w:t xml:space="preserve"> vote on election days are two different things altogether. </w:t>
      </w:r>
      <w:r w:rsidR="00A1164F" w:rsidRPr="005C6D34">
        <w:rPr>
          <w:rFonts w:eastAsia="Georgia" w:cstheme="minorHAnsi"/>
          <w:sz w:val="24"/>
          <w:szCs w:val="24"/>
        </w:rPr>
        <w:t xml:space="preserve">The </w:t>
      </w:r>
      <w:r w:rsidR="00E53D74" w:rsidRPr="005C6D34">
        <w:rPr>
          <w:rFonts w:eastAsia="Georgia" w:cstheme="minorHAnsi"/>
          <w:sz w:val="24"/>
          <w:szCs w:val="24"/>
        </w:rPr>
        <w:t>new voter registration</w:t>
      </w:r>
      <w:r w:rsidR="00A1164F" w:rsidRPr="005C6D34">
        <w:rPr>
          <w:rFonts w:eastAsia="Georgia" w:cstheme="minorHAnsi"/>
          <w:sz w:val="24"/>
          <w:szCs w:val="24"/>
        </w:rPr>
        <w:t xml:space="preserve"> shows no correlation</w:t>
      </w:r>
      <w:r w:rsidR="00E53D74" w:rsidRPr="005C6D34">
        <w:rPr>
          <w:rFonts w:eastAsia="Georgia" w:cstheme="minorHAnsi"/>
          <w:sz w:val="24"/>
          <w:szCs w:val="24"/>
        </w:rPr>
        <w:t xml:space="preserve"> </w:t>
      </w:r>
      <w:r w:rsidR="00F03DD0" w:rsidRPr="005C6D34">
        <w:rPr>
          <w:rFonts w:eastAsia="Georgia" w:cstheme="minorHAnsi"/>
          <w:sz w:val="24"/>
          <w:szCs w:val="24"/>
        </w:rPr>
        <w:t>between</w:t>
      </w:r>
      <w:r w:rsidR="00A1164F" w:rsidRPr="005C6D34">
        <w:rPr>
          <w:rFonts w:eastAsia="Georgia" w:cstheme="minorHAnsi"/>
          <w:sz w:val="24"/>
          <w:szCs w:val="24"/>
        </w:rPr>
        <w:t xml:space="preserve"> unemployment and </w:t>
      </w:r>
      <w:r w:rsidR="00E53D74" w:rsidRPr="005C6D34">
        <w:rPr>
          <w:rFonts w:eastAsia="Georgia" w:cstheme="minorHAnsi"/>
          <w:sz w:val="24"/>
          <w:szCs w:val="24"/>
        </w:rPr>
        <w:t>poverty headcount rate.</w:t>
      </w:r>
    </w:p>
    <w:p w14:paraId="6E6F4CC0" w14:textId="483064EC" w:rsidR="4FA106B2" w:rsidRPr="005C6D34" w:rsidRDefault="4FA106B2" w:rsidP="000A687F">
      <w:pPr>
        <w:spacing w:line="360" w:lineRule="auto"/>
        <w:jc w:val="both"/>
        <w:rPr>
          <w:rFonts w:cstheme="minorHAnsi"/>
          <w:sz w:val="24"/>
          <w:szCs w:val="24"/>
        </w:rPr>
      </w:pPr>
      <w:r w:rsidRPr="005C6D34">
        <w:rPr>
          <w:rFonts w:eastAsia="Georgia" w:cstheme="minorHAnsi"/>
          <w:sz w:val="24"/>
          <w:szCs w:val="24"/>
        </w:rPr>
        <w:t>The third evidence observed from the results of these three states is that the more competitive the election</w:t>
      </w:r>
      <w:r w:rsidR="00032CDF" w:rsidRPr="005C6D34">
        <w:rPr>
          <w:rFonts w:eastAsia="Georgia" w:cstheme="minorHAnsi"/>
          <w:sz w:val="24"/>
          <w:szCs w:val="24"/>
        </w:rPr>
        <w:t xml:space="preserve">, </w:t>
      </w:r>
      <w:r w:rsidRPr="005C6D34">
        <w:rPr>
          <w:rFonts w:eastAsia="Georgia" w:cstheme="minorHAnsi"/>
          <w:sz w:val="24"/>
          <w:szCs w:val="24"/>
        </w:rPr>
        <w:t xml:space="preserve">the higher </w:t>
      </w:r>
      <w:r w:rsidR="00032CDF" w:rsidRPr="005C6D34">
        <w:rPr>
          <w:rFonts w:eastAsia="Georgia" w:cstheme="minorHAnsi"/>
          <w:sz w:val="24"/>
          <w:szCs w:val="24"/>
        </w:rPr>
        <w:t xml:space="preserve">the </w:t>
      </w:r>
      <w:r w:rsidRPr="005C6D34">
        <w:rPr>
          <w:rFonts w:eastAsia="Georgia" w:cstheme="minorHAnsi"/>
          <w:sz w:val="24"/>
          <w:szCs w:val="24"/>
        </w:rPr>
        <w:t xml:space="preserve">chances of increased voter turnout. In both Anambra </w:t>
      </w:r>
      <w:r w:rsidR="00B3375E" w:rsidRPr="005C6D34">
        <w:rPr>
          <w:rFonts w:eastAsia="Georgia" w:cstheme="minorHAnsi"/>
          <w:sz w:val="24"/>
          <w:szCs w:val="24"/>
        </w:rPr>
        <w:t>and</w:t>
      </w:r>
      <w:r w:rsidRPr="005C6D34">
        <w:rPr>
          <w:rFonts w:eastAsia="Georgia" w:cstheme="minorHAnsi"/>
          <w:sz w:val="24"/>
          <w:szCs w:val="24"/>
        </w:rPr>
        <w:t xml:space="preserve"> Ekiti, the ruling parties </w:t>
      </w:r>
      <w:r w:rsidR="00407AF2" w:rsidRPr="005C6D34">
        <w:rPr>
          <w:rFonts w:eastAsia="Georgia" w:cstheme="minorHAnsi"/>
          <w:sz w:val="24"/>
          <w:szCs w:val="24"/>
        </w:rPr>
        <w:t>–</w:t>
      </w:r>
      <w:r w:rsidRPr="005C6D34">
        <w:rPr>
          <w:rFonts w:eastAsia="Georgia" w:cstheme="minorHAnsi"/>
          <w:sz w:val="24"/>
          <w:szCs w:val="24"/>
        </w:rPr>
        <w:t xml:space="preserve"> aided by their outgoing governors </w:t>
      </w:r>
      <w:r w:rsidR="00407AF2" w:rsidRPr="005C6D34">
        <w:rPr>
          <w:rFonts w:eastAsia="Georgia" w:cstheme="minorHAnsi"/>
          <w:sz w:val="24"/>
          <w:szCs w:val="24"/>
        </w:rPr>
        <w:t>–</w:t>
      </w:r>
      <w:r w:rsidRPr="005C6D34">
        <w:rPr>
          <w:rFonts w:eastAsia="Georgia" w:cstheme="minorHAnsi"/>
          <w:sz w:val="24"/>
          <w:szCs w:val="24"/>
        </w:rPr>
        <w:t xml:space="preserve"> ensured victories for their parties in the elections. The outgoing incumbents showed more </w:t>
      </w:r>
      <w:r w:rsidR="009C4D3A" w:rsidRPr="005C6D34">
        <w:rPr>
          <w:rFonts w:eastAsia="Georgia" w:cstheme="minorHAnsi"/>
          <w:sz w:val="24"/>
          <w:szCs w:val="24"/>
        </w:rPr>
        <w:t>interest</w:t>
      </w:r>
      <w:r w:rsidRPr="005C6D34">
        <w:rPr>
          <w:rFonts w:eastAsia="Georgia" w:cstheme="minorHAnsi"/>
          <w:sz w:val="24"/>
          <w:szCs w:val="24"/>
        </w:rPr>
        <w:t xml:space="preserve"> in retaining power for their parties than allowing the voters to decide. This </w:t>
      </w:r>
      <w:r w:rsidR="008837CE" w:rsidRPr="005C6D34">
        <w:rPr>
          <w:rFonts w:eastAsia="Georgia" w:cstheme="minorHAnsi"/>
          <w:sz w:val="24"/>
          <w:szCs w:val="24"/>
        </w:rPr>
        <w:t>contrasts</w:t>
      </w:r>
      <w:r w:rsidRPr="005C6D34">
        <w:rPr>
          <w:rFonts w:eastAsia="Georgia" w:cstheme="minorHAnsi"/>
          <w:sz w:val="24"/>
          <w:szCs w:val="24"/>
        </w:rPr>
        <w:t xml:space="preserve"> </w:t>
      </w:r>
      <w:r w:rsidR="008837CE" w:rsidRPr="005C6D34">
        <w:rPr>
          <w:rFonts w:eastAsia="Georgia" w:cstheme="minorHAnsi"/>
          <w:sz w:val="24"/>
          <w:szCs w:val="24"/>
        </w:rPr>
        <w:t xml:space="preserve">with </w:t>
      </w:r>
      <w:r w:rsidR="00032CDF" w:rsidRPr="005C6D34">
        <w:rPr>
          <w:rFonts w:eastAsia="Georgia" w:cstheme="minorHAnsi"/>
          <w:sz w:val="24"/>
          <w:szCs w:val="24"/>
        </w:rPr>
        <w:t xml:space="preserve">the </w:t>
      </w:r>
      <w:r w:rsidRPr="005C6D34">
        <w:rPr>
          <w:rFonts w:eastAsia="Georgia" w:cstheme="minorHAnsi"/>
          <w:sz w:val="24"/>
          <w:szCs w:val="24"/>
        </w:rPr>
        <w:t>Osun</w:t>
      </w:r>
      <w:r w:rsidR="00032CDF" w:rsidRPr="005C6D34">
        <w:rPr>
          <w:rFonts w:eastAsia="Georgia" w:cstheme="minorHAnsi"/>
          <w:sz w:val="24"/>
          <w:szCs w:val="24"/>
        </w:rPr>
        <w:t xml:space="preserve"> elections</w:t>
      </w:r>
      <w:r w:rsidR="008837CE" w:rsidRPr="005C6D34">
        <w:rPr>
          <w:rFonts w:eastAsia="Georgia" w:cstheme="minorHAnsi"/>
          <w:sz w:val="24"/>
          <w:szCs w:val="24"/>
        </w:rPr>
        <w:t>,</w:t>
      </w:r>
      <w:r w:rsidRPr="005C6D34">
        <w:rPr>
          <w:rFonts w:eastAsia="Georgia" w:cstheme="minorHAnsi"/>
          <w:sz w:val="24"/>
          <w:szCs w:val="24"/>
        </w:rPr>
        <w:t xml:space="preserve"> where two equally matched c</w:t>
      </w:r>
      <w:r w:rsidR="00B3375E" w:rsidRPr="005C6D34">
        <w:rPr>
          <w:rFonts w:eastAsia="Georgia" w:cstheme="minorHAnsi"/>
          <w:sz w:val="24"/>
          <w:szCs w:val="24"/>
        </w:rPr>
        <w:t>and</w:t>
      </w:r>
      <w:r w:rsidRPr="005C6D34">
        <w:rPr>
          <w:rFonts w:eastAsia="Georgia" w:cstheme="minorHAnsi"/>
          <w:sz w:val="24"/>
          <w:szCs w:val="24"/>
        </w:rPr>
        <w:t>idates in terms of mobili</w:t>
      </w:r>
      <w:r w:rsidR="00721E6B" w:rsidRPr="005C6D34">
        <w:rPr>
          <w:rFonts w:eastAsia="Georgia" w:cstheme="minorHAnsi"/>
          <w:sz w:val="24"/>
          <w:szCs w:val="24"/>
        </w:rPr>
        <w:t>s</w:t>
      </w:r>
      <w:r w:rsidRPr="005C6D34">
        <w:rPr>
          <w:rFonts w:eastAsia="Georgia" w:cstheme="minorHAnsi"/>
          <w:sz w:val="24"/>
          <w:szCs w:val="24"/>
        </w:rPr>
        <w:t xml:space="preserve">ation capacities </w:t>
      </w:r>
      <w:r w:rsidR="00B3375E" w:rsidRPr="005C6D34">
        <w:rPr>
          <w:rFonts w:eastAsia="Georgia" w:cstheme="minorHAnsi"/>
          <w:sz w:val="24"/>
          <w:szCs w:val="24"/>
        </w:rPr>
        <w:t>and</w:t>
      </w:r>
      <w:r w:rsidRPr="005C6D34">
        <w:rPr>
          <w:rFonts w:eastAsia="Georgia" w:cstheme="minorHAnsi"/>
          <w:sz w:val="24"/>
          <w:szCs w:val="24"/>
        </w:rPr>
        <w:t xml:space="preserve"> financial capabilities squared against each other. The 2018 Osun gubernatorial election was decided after a run</w:t>
      </w:r>
      <w:r w:rsidR="00032CDF" w:rsidRPr="005C6D34">
        <w:rPr>
          <w:rFonts w:eastAsia="Georgia" w:cstheme="minorHAnsi"/>
          <w:sz w:val="24"/>
          <w:szCs w:val="24"/>
        </w:rPr>
        <w:t>-</w:t>
      </w:r>
      <w:r w:rsidRPr="005C6D34">
        <w:rPr>
          <w:rFonts w:eastAsia="Georgia" w:cstheme="minorHAnsi"/>
          <w:sz w:val="24"/>
          <w:szCs w:val="24"/>
        </w:rPr>
        <w:t xml:space="preserve">off which saw the incumbent All Progressives Congress (APC) slightly edge out the opposition. The opposition Peoples Democratic Party (PDP) appeared better prepared not to allow the repeat of their defeat four years earlier.     </w:t>
      </w:r>
    </w:p>
    <w:p w14:paraId="19AA90C7" w14:textId="7B14173E" w:rsidR="4FA106B2" w:rsidRPr="005C6D34" w:rsidRDefault="4FA106B2" w:rsidP="000A687F">
      <w:pPr>
        <w:spacing w:line="360" w:lineRule="auto"/>
        <w:jc w:val="both"/>
        <w:rPr>
          <w:rFonts w:cstheme="minorHAnsi"/>
          <w:sz w:val="24"/>
          <w:szCs w:val="24"/>
        </w:rPr>
      </w:pPr>
      <w:r w:rsidRPr="005C6D34">
        <w:rPr>
          <w:rFonts w:eastAsia="Georgia" w:cstheme="minorHAnsi"/>
          <w:sz w:val="24"/>
          <w:szCs w:val="24"/>
        </w:rPr>
        <w:t xml:space="preserve">The descriptive statistics from the three case studies still reflect some signs of ethnoreligious </w:t>
      </w:r>
      <w:r w:rsidR="00B3375E" w:rsidRPr="005C6D34">
        <w:rPr>
          <w:rFonts w:eastAsia="Georgia" w:cstheme="minorHAnsi"/>
          <w:sz w:val="24"/>
          <w:szCs w:val="24"/>
        </w:rPr>
        <w:t>and</w:t>
      </w:r>
      <w:r w:rsidRPr="005C6D34">
        <w:rPr>
          <w:rFonts w:eastAsia="Georgia" w:cstheme="minorHAnsi"/>
          <w:sz w:val="24"/>
          <w:szCs w:val="24"/>
        </w:rPr>
        <w:t xml:space="preserve"> party polari</w:t>
      </w:r>
      <w:r w:rsidR="00721E6B" w:rsidRPr="005C6D34">
        <w:rPr>
          <w:rFonts w:eastAsia="Georgia" w:cstheme="minorHAnsi"/>
          <w:sz w:val="24"/>
          <w:szCs w:val="24"/>
        </w:rPr>
        <w:t>s</w:t>
      </w:r>
      <w:r w:rsidRPr="005C6D34">
        <w:rPr>
          <w:rFonts w:eastAsia="Georgia" w:cstheme="minorHAnsi"/>
          <w:sz w:val="24"/>
          <w:szCs w:val="24"/>
        </w:rPr>
        <w:t xml:space="preserve">ation in Nigeria. </w:t>
      </w:r>
      <w:r w:rsidR="00032CDF" w:rsidRPr="005C6D34">
        <w:rPr>
          <w:rFonts w:eastAsia="Georgia" w:cstheme="minorHAnsi"/>
          <w:sz w:val="24"/>
          <w:szCs w:val="24"/>
        </w:rPr>
        <w:t>This was evident i</w:t>
      </w:r>
      <w:r w:rsidRPr="005C6D34">
        <w:rPr>
          <w:rFonts w:eastAsia="Georgia" w:cstheme="minorHAnsi"/>
          <w:sz w:val="24"/>
          <w:szCs w:val="24"/>
        </w:rPr>
        <w:t xml:space="preserve">n the cases of Ekiti </w:t>
      </w:r>
      <w:r w:rsidR="00B3375E" w:rsidRPr="005C6D34">
        <w:rPr>
          <w:rFonts w:eastAsia="Georgia" w:cstheme="minorHAnsi"/>
          <w:sz w:val="24"/>
          <w:szCs w:val="24"/>
        </w:rPr>
        <w:t>and</w:t>
      </w:r>
      <w:r w:rsidRPr="005C6D34">
        <w:rPr>
          <w:rFonts w:eastAsia="Georgia" w:cstheme="minorHAnsi"/>
          <w:sz w:val="24"/>
          <w:szCs w:val="24"/>
        </w:rPr>
        <w:t xml:space="preserve"> Osun in the </w:t>
      </w:r>
      <w:r w:rsidR="00032CDF" w:rsidRPr="005C6D34">
        <w:rPr>
          <w:rFonts w:eastAsia="Georgia" w:cstheme="minorHAnsi"/>
          <w:sz w:val="24"/>
          <w:szCs w:val="24"/>
        </w:rPr>
        <w:t>SW –</w:t>
      </w:r>
      <w:r w:rsidRPr="005C6D34">
        <w:rPr>
          <w:rFonts w:eastAsia="Georgia" w:cstheme="minorHAnsi"/>
          <w:sz w:val="24"/>
          <w:szCs w:val="24"/>
        </w:rPr>
        <w:t xml:space="preserve"> the </w:t>
      </w:r>
      <w:r w:rsidRPr="005C6D34">
        <w:rPr>
          <w:rFonts w:eastAsia="Georgia" w:cstheme="minorHAnsi"/>
          <w:sz w:val="24"/>
          <w:szCs w:val="24"/>
        </w:rPr>
        <w:lastRenderedPageBreak/>
        <w:t xml:space="preserve">most religiously diverse </w:t>
      </w:r>
      <w:r w:rsidR="00032CDF" w:rsidRPr="005C6D34">
        <w:rPr>
          <w:rFonts w:eastAsia="Georgia" w:cstheme="minorHAnsi"/>
          <w:sz w:val="24"/>
          <w:szCs w:val="24"/>
        </w:rPr>
        <w:t xml:space="preserve">area in </w:t>
      </w:r>
      <w:r w:rsidR="00245697" w:rsidRPr="005C6D34">
        <w:rPr>
          <w:rFonts w:eastAsia="Georgia" w:cstheme="minorHAnsi"/>
          <w:sz w:val="24"/>
          <w:szCs w:val="24"/>
        </w:rPr>
        <w:t>Nigeria</w:t>
      </w:r>
      <w:r w:rsidRPr="005C6D34">
        <w:rPr>
          <w:rFonts w:eastAsia="Georgia" w:cstheme="minorHAnsi"/>
          <w:sz w:val="24"/>
          <w:szCs w:val="24"/>
        </w:rPr>
        <w:t xml:space="preserve">. Even though Osun state has a Muslim population of 53.1% </w:t>
      </w:r>
      <w:r w:rsidR="00B3375E" w:rsidRPr="005C6D34">
        <w:rPr>
          <w:rFonts w:eastAsia="Georgia" w:cstheme="minorHAnsi"/>
          <w:sz w:val="24"/>
          <w:szCs w:val="24"/>
        </w:rPr>
        <w:t>and</w:t>
      </w:r>
      <w:r w:rsidR="00032CDF" w:rsidRPr="005C6D34">
        <w:rPr>
          <w:rFonts w:eastAsia="Georgia" w:cstheme="minorHAnsi"/>
          <w:sz w:val="24"/>
          <w:szCs w:val="24"/>
        </w:rPr>
        <w:t xml:space="preserve"> a Christian population of </w:t>
      </w:r>
      <w:r w:rsidRPr="005C6D34">
        <w:rPr>
          <w:rFonts w:eastAsia="Georgia" w:cstheme="minorHAnsi"/>
          <w:sz w:val="24"/>
          <w:szCs w:val="24"/>
        </w:rPr>
        <w:t>42.6%</w:t>
      </w:r>
      <w:r w:rsidR="00032CDF" w:rsidRPr="005C6D34">
        <w:rPr>
          <w:rFonts w:eastAsia="Georgia" w:cstheme="minorHAnsi"/>
          <w:sz w:val="24"/>
          <w:szCs w:val="24"/>
        </w:rPr>
        <w:t>,</w:t>
      </w:r>
      <w:r w:rsidRPr="005C6D34">
        <w:rPr>
          <w:rFonts w:eastAsia="Georgia" w:cstheme="minorHAnsi"/>
          <w:sz w:val="24"/>
          <w:szCs w:val="24"/>
        </w:rPr>
        <w:t xml:space="preserve"> there were attempts by supporters of the incumbent governor </w:t>
      </w:r>
      <w:proofErr w:type="spellStart"/>
      <w:r w:rsidRPr="005C6D34">
        <w:rPr>
          <w:rFonts w:eastAsia="Georgia" w:cstheme="minorHAnsi"/>
          <w:sz w:val="24"/>
          <w:szCs w:val="24"/>
        </w:rPr>
        <w:t>Oyetola</w:t>
      </w:r>
      <w:proofErr w:type="spellEnd"/>
      <w:r w:rsidRPr="005C6D34">
        <w:rPr>
          <w:rFonts w:eastAsia="Georgia" w:cstheme="minorHAnsi"/>
          <w:sz w:val="24"/>
          <w:szCs w:val="24"/>
        </w:rPr>
        <w:t>, to make political capital out of the opposition c</w:t>
      </w:r>
      <w:r w:rsidR="006B4C33" w:rsidRPr="005C6D34">
        <w:rPr>
          <w:rFonts w:eastAsia="Georgia" w:cstheme="minorHAnsi"/>
          <w:sz w:val="24"/>
          <w:szCs w:val="24"/>
        </w:rPr>
        <w:t>and</w:t>
      </w:r>
      <w:r w:rsidRPr="005C6D34">
        <w:rPr>
          <w:rFonts w:eastAsia="Georgia" w:cstheme="minorHAnsi"/>
          <w:sz w:val="24"/>
          <w:szCs w:val="24"/>
        </w:rPr>
        <w:t>idate</w:t>
      </w:r>
      <w:r w:rsidR="006B4C33" w:rsidRPr="005C6D34">
        <w:rPr>
          <w:rFonts w:eastAsia="Georgia" w:cstheme="minorHAnsi"/>
          <w:sz w:val="24"/>
          <w:szCs w:val="24"/>
        </w:rPr>
        <w:t>,</w:t>
      </w:r>
      <w:r w:rsidR="00032CDF" w:rsidRPr="005C6D34">
        <w:rPr>
          <w:rFonts w:eastAsia="Georgia" w:cstheme="minorHAnsi"/>
          <w:sz w:val="24"/>
          <w:szCs w:val="24"/>
        </w:rPr>
        <w:t xml:space="preserve"> </w:t>
      </w:r>
      <w:proofErr w:type="spellStart"/>
      <w:r w:rsidRPr="005C6D34">
        <w:rPr>
          <w:rFonts w:eastAsia="Georgia" w:cstheme="minorHAnsi"/>
          <w:sz w:val="24"/>
          <w:szCs w:val="24"/>
        </w:rPr>
        <w:t>Demola</w:t>
      </w:r>
      <w:proofErr w:type="spellEnd"/>
      <w:r w:rsidRPr="005C6D34">
        <w:rPr>
          <w:rFonts w:eastAsia="Georgia" w:cstheme="minorHAnsi"/>
          <w:sz w:val="24"/>
          <w:szCs w:val="24"/>
        </w:rPr>
        <w:t xml:space="preserve"> Adeleke</w:t>
      </w:r>
      <w:r w:rsidR="006B4C33" w:rsidRPr="005C6D34">
        <w:rPr>
          <w:rFonts w:eastAsia="Georgia" w:cstheme="minorHAnsi"/>
          <w:sz w:val="24"/>
          <w:szCs w:val="24"/>
        </w:rPr>
        <w:t xml:space="preserve">’s, </w:t>
      </w:r>
      <w:r w:rsidR="00032CDF" w:rsidRPr="005C6D34">
        <w:rPr>
          <w:rFonts w:eastAsia="Georgia" w:cstheme="minorHAnsi"/>
          <w:sz w:val="24"/>
          <w:szCs w:val="24"/>
        </w:rPr>
        <w:t>Christian</w:t>
      </w:r>
      <w:r w:rsidRPr="005C6D34">
        <w:rPr>
          <w:rFonts w:eastAsia="Georgia" w:cstheme="minorHAnsi"/>
          <w:sz w:val="24"/>
          <w:szCs w:val="24"/>
        </w:rPr>
        <w:t xml:space="preserve"> beliefs. The opposition also played the religious card using the instance of the ruling party</w:t>
      </w:r>
      <w:r w:rsidR="00A03141" w:rsidRPr="005C6D34">
        <w:rPr>
          <w:rFonts w:eastAsia="Georgia" w:cstheme="minorHAnsi"/>
          <w:sz w:val="24"/>
          <w:szCs w:val="24"/>
        </w:rPr>
        <w:t>’</w:t>
      </w:r>
      <w:r w:rsidRPr="005C6D34">
        <w:rPr>
          <w:rFonts w:eastAsia="Georgia" w:cstheme="minorHAnsi"/>
          <w:sz w:val="24"/>
          <w:szCs w:val="24"/>
        </w:rPr>
        <w:t>s</w:t>
      </w:r>
      <w:r w:rsidR="000C7197" w:rsidRPr="005C6D34">
        <w:rPr>
          <w:rFonts w:eastAsia="Georgia" w:cstheme="minorHAnsi"/>
          <w:sz w:val="24"/>
          <w:szCs w:val="24"/>
        </w:rPr>
        <w:t xml:space="preserve"> same religious faith</w:t>
      </w:r>
      <w:r w:rsidRPr="005C6D34">
        <w:rPr>
          <w:rFonts w:eastAsia="Georgia" w:cstheme="minorHAnsi"/>
          <w:sz w:val="24"/>
          <w:szCs w:val="24"/>
        </w:rPr>
        <w:t xml:space="preserve"> ticket for the 2023 presidential election. The </w:t>
      </w:r>
      <w:proofErr w:type="spellStart"/>
      <w:r w:rsidRPr="005C6D34">
        <w:rPr>
          <w:rFonts w:eastAsia="Georgia" w:cstheme="minorHAnsi"/>
          <w:sz w:val="24"/>
          <w:szCs w:val="24"/>
        </w:rPr>
        <w:t>weaponisation</w:t>
      </w:r>
      <w:proofErr w:type="spellEnd"/>
      <w:r w:rsidRPr="005C6D34">
        <w:rPr>
          <w:rFonts w:eastAsia="Georgia" w:cstheme="minorHAnsi"/>
          <w:sz w:val="24"/>
          <w:szCs w:val="24"/>
        </w:rPr>
        <w:t xml:space="preserve"> of religion</w:t>
      </w:r>
      <w:r w:rsidR="0033772E" w:rsidRPr="005C6D34">
        <w:rPr>
          <w:rFonts w:eastAsia="Georgia" w:cstheme="minorHAnsi"/>
          <w:sz w:val="24"/>
          <w:szCs w:val="24"/>
        </w:rPr>
        <w:t xml:space="preserve"> (Kolawole, 2022)</w:t>
      </w:r>
      <w:r w:rsidRPr="005C6D34">
        <w:rPr>
          <w:rFonts w:eastAsia="Georgia" w:cstheme="minorHAnsi"/>
          <w:sz w:val="24"/>
          <w:szCs w:val="24"/>
        </w:rPr>
        <w:t xml:space="preserve"> in </w:t>
      </w:r>
      <w:r w:rsidR="008837CE" w:rsidRPr="005C6D34">
        <w:rPr>
          <w:rFonts w:eastAsia="Georgia" w:cstheme="minorHAnsi"/>
          <w:sz w:val="24"/>
          <w:szCs w:val="24"/>
        </w:rPr>
        <w:t xml:space="preserve">the </w:t>
      </w:r>
      <w:r w:rsidRPr="005C6D34">
        <w:rPr>
          <w:rFonts w:eastAsia="Georgia" w:cstheme="minorHAnsi"/>
          <w:sz w:val="24"/>
          <w:szCs w:val="24"/>
        </w:rPr>
        <w:t xml:space="preserve">Osun elections since 2007 shows signs of </w:t>
      </w:r>
      <w:r w:rsidR="008837CE" w:rsidRPr="005C6D34">
        <w:rPr>
          <w:rFonts w:eastAsia="Georgia" w:cstheme="minorHAnsi"/>
          <w:sz w:val="24"/>
          <w:szCs w:val="24"/>
        </w:rPr>
        <w:t xml:space="preserve">an </w:t>
      </w:r>
      <w:r w:rsidRPr="005C6D34">
        <w:rPr>
          <w:rFonts w:eastAsia="Georgia" w:cstheme="minorHAnsi"/>
          <w:sz w:val="24"/>
          <w:szCs w:val="24"/>
        </w:rPr>
        <w:t xml:space="preserve">increase </w:t>
      </w:r>
      <w:r w:rsidR="001E552A" w:rsidRPr="005C6D34">
        <w:rPr>
          <w:rFonts w:eastAsia="Georgia" w:cstheme="minorHAnsi"/>
          <w:sz w:val="24"/>
          <w:szCs w:val="24"/>
        </w:rPr>
        <w:t xml:space="preserve">of religion </w:t>
      </w:r>
      <w:r w:rsidRPr="005C6D34">
        <w:rPr>
          <w:rFonts w:eastAsia="Georgia" w:cstheme="minorHAnsi"/>
          <w:sz w:val="24"/>
          <w:szCs w:val="24"/>
        </w:rPr>
        <w:t xml:space="preserve">in the state. </w:t>
      </w:r>
      <w:r w:rsidR="008837CE" w:rsidRPr="005C6D34">
        <w:rPr>
          <w:rFonts w:eastAsia="Georgia" w:cstheme="minorHAnsi"/>
          <w:sz w:val="24"/>
          <w:szCs w:val="24"/>
        </w:rPr>
        <w:t>Although Anambra</w:t>
      </w:r>
      <w:r w:rsidRPr="005C6D34">
        <w:rPr>
          <w:rFonts w:eastAsia="Georgia" w:cstheme="minorHAnsi"/>
          <w:sz w:val="24"/>
          <w:szCs w:val="24"/>
        </w:rPr>
        <w:t xml:space="preserve"> is a predominantly Christian state, there is still polari</w:t>
      </w:r>
      <w:r w:rsidR="00721E6B" w:rsidRPr="005C6D34">
        <w:rPr>
          <w:rFonts w:eastAsia="Georgia" w:cstheme="minorHAnsi"/>
          <w:sz w:val="24"/>
          <w:szCs w:val="24"/>
        </w:rPr>
        <w:t>s</w:t>
      </w:r>
      <w:r w:rsidRPr="005C6D34">
        <w:rPr>
          <w:rFonts w:eastAsia="Georgia" w:cstheme="minorHAnsi"/>
          <w:sz w:val="24"/>
          <w:szCs w:val="24"/>
        </w:rPr>
        <w:t>ation among Catholic</w:t>
      </w:r>
      <w:r w:rsidR="00407AF2" w:rsidRPr="005C6D34">
        <w:rPr>
          <w:rFonts w:eastAsia="Georgia" w:cstheme="minorHAnsi"/>
          <w:sz w:val="24"/>
          <w:szCs w:val="24"/>
        </w:rPr>
        <w:t>–</w:t>
      </w:r>
      <w:r w:rsidRPr="005C6D34">
        <w:rPr>
          <w:rFonts w:eastAsia="Georgia" w:cstheme="minorHAnsi"/>
          <w:sz w:val="24"/>
          <w:szCs w:val="24"/>
        </w:rPr>
        <w:t>Anglican lines in</w:t>
      </w:r>
      <w:r w:rsidR="001E552A" w:rsidRPr="005C6D34">
        <w:rPr>
          <w:rFonts w:eastAsia="Georgia" w:cstheme="minorHAnsi"/>
          <w:sz w:val="24"/>
          <w:szCs w:val="24"/>
        </w:rPr>
        <w:t xml:space="preserve"> </w:t>
      </w:r>
      <w:r w:rsidRPr="005C6D34">
        <w:rPr>
          <w:rFonts w:eastAsia="Georgia" w:cstheme="minorHAnsi"/>
          <w:sz w:val="24"/>
          <w:szCs w:val="24"/>
        </w:rPr>
        <w:t xml:space="preserve">state politics. Things </w:t>
      </w:r>
      <w:r w:rsidR="001E552A" w:rsidRPr="005C6D34">
        <w:rPr>
          <w:rFonts w:eastAsia="Georgia" w:cstheme="minorHAnsi"/>
          <w:sz w:val="24"/>
          <w:szCs w:val="24"/>
        </w:rPr>
        <w:t>reached</w:t>
      </w:r>
      <w:r w:rsidRPr="005C6D34">
        <w:rPr>
          <w:rFonts w:eastAsia="Georgia" w:cstheme="minorHAnsi"/>
          <w:sz w:val="24"/>
          <w:szCs w:val="24"/>
        </w:rPr>
        <w:t xml:space="preserve"> </w:t>
      </w:r>
      <w:r w:rsidR="008837CE" w:rsidRPr="005C6D34">
        <w:rPr>
          <w:rFonts w:eastAsia="Georgia" w:cstheme="minorHAnsi"/>
          <w:sz w:val="24"/>
          <w:szCs w:val="24"/>
        </w:rPr>
        <w:t>a</w:t>
      </w:r>
      <w:r w:rsidRPr="005C6D34">
        <w:rPr>
          <w:rFonts w:eastAsia="Georgia" w:cstheme="minorHAnsi"/>
          <w:sz w:val="24"/>
          <w:szCs w:val="24"/>
        </w:rPr>
        <w:t xml:space="preserve"> peak when the Pentecostal Fellowship of Nigeria (PFN) had to </w:t>
      </w:r>
      <w:r w:rsidR="008837CE" w:rsidRPr="005C6D34">
        <w:rPr>
          <w:rFonts w:eastAsia="Georgia" w:cstheme="minorHAnsi"/>
          <w:sz w:val="24"/>
          <w:szCs w:val="24"/>
        </w:rPr>
        <w:t>state</w:t>
      </w:r>
      <w:r w:rsidRPr="005C6D34">
        <w:rPr>
          <w:rFonts w:eastAsia="Georgia" w:cstheme="minorHAnsi"/>
          <w:sz w:val="24"/>
          <w:szCs w:val="24"/>
        </w:rPr>
        <w:t xml:space="preserve"> politicians on the need to get them involved in the electioneering process in 2021</w:t>
      </w:r>
      <w:r w:rsidR="0033772E" w:rsidRPr="005C6D34">
        <w:rPr>
          <w:rFonts w:eastAsia="Georgia" w:cstheme="minorHAnsi"/>
          <w:sz w:val="24"/>
          <w:szCs w:val="24"/>
        </w:rPr>
        <w:t xml:space="preserve"> (</w:t>
      </w:r>
      <w:proofErr w:type="spellStart"/>
      <w:r w:rsidR="0033772E" w:rsidRPr="005C6D34">
        <w:rPr>
          <w:rFonts w:eastAsia="Georgia" w:cstheme="minorHAnsi"/>
          <w:sz w:val="24"/>
          <w:szCs w:val="24"/>
        </w:rPr>
        <w:t>Eleweke</w:t>
      </w:r>
      <w:proofErr w:type="spellEnd"/>
      <w:r w:rsidR="0033772E" w:rsidRPr="005C6D34">
        <w:rPr>
          <w:rFonts w:eastAsia="Georgia" w:cstheme="minorHAnsi"/>
          <w:sz w:val="24"/>
          <w:szCs w:val="24"/>
        </w:rPr>
        <w:t>, 2021)</w:t>
      </w:r>
      <w:r w:rsidRPr="005C6D34">
        <w:rPr>
          <w:rFonts w:eastAsia="Georgia" w:cstheme="minorHAnsi"/>
          <w:sz w:val="24"/>
          <w:szCs w:val="24"/>
        </w:rPr>
        <w:t>.</w:t>
      </w:r>
    </w:p>
    <w:p w14:paraId="23BEBE75" w14:textId="0A568D46" w:rsidR="000A687F" w:rsidRPr="005C6D34" w:rsidRDefault="000A687F" w:rsidP="00674669">
      <w:pPr>
        <w:pStyle w:val="ListParagraph"/>
        <w:numPr>
          <w:ilvl w:val="0"/>
          <w:numId w:val="5"/>
        </w:numPr>
        <w:spacing w:after="0" w:line="360" w:lineRule="auto"/>
        <w:jc w:val="both"/>
        <w:rPr>
          <w:rFonts w:eastAsia="Georgia" w:cstheme="minorHAnsi"/>
          <w:b/>
          <w:bCs/>
          <w:sz w:val="24"/>
          <w:szCs w:val="24"/>
        </w:rPr>
      </w:pPr>
      <w:r w:rsidRPr="005C6D34">
        <w:rPr>
          <w:rFonts w:eastAsia="Georgia" w:cstheme="minorHAnsi"/>
          <w:b/>
          <w:bCs/>
          <w:sz w:val="24"/>
          <w:szCs w:val="24"/>
        </w:rPr>
        <w:t>Conclusion</w:t>
      </w:r>
      <w:r w:rsidR="000E567B" w:rsidRPr="005C6D34">
        <w:rPr>
          <w:rFonts w:eastAsia="Georgia" w:cstheme="minorHAnsi"/>
          <w:b/>
          <w:bCs/>
          <w:sz w:val="24"/>
          <w:szCs w:val="24"/>
        </w:rPr>
        <w:t xml:space="preserve">s </w:t>
      </w:r>
      <w:r w:rsidR="006B4C33" w:rsidRPr="005C6D34">
        <w:rPr>
          <w:rFonts w:eastAsia="Georgia" w:cstheme="minorHAnsi"/>
          <w:b/>
          <w:bCs/>
          <w:sz w:val="24"/>
          <w:szCs w:val="24"/>
        </w:rPr>
        <w:t>and</w:t>
      </w:r>
      <w:r w:rsidR="000E567B" w:rsidRPr="005C6D34">
        <w:rPr>
          <w:rFonts w:eastAsia="Georgia" w:cstheme="minorHAnsi"/>
          <w:b/>
          <w:bCs/>
          <w:sz w:val="24"/>
          <w:szCs w:val="24"/>
        </w:rPr>
        <w:t xml:space="preserve"> Implications of the Study</w:t>
      </w:r>
    </w:p>
    <w:p w14:paraId="3415163C" w14:textId="15A1CD9B" w:rsidR="006E3693" w:rsidRPr="005C6D34" w:rsidRDefault="009F7197" w:rsidP="000A687F">
      <w:pPr>
        <w:spacing w:line="360" w:lineRule="auto"/>
        <w:jc w:val="both"/>
        <w:rPr>
          <w:rFonts w:cstheme="minorHAnsi"/>
          <w:sz w:val="24"/>
          <w:szCs w:val="24"/>
        </w:rPr>
      </w:pPr>
      <w:r w:rsidRPr="005C6D34">
        <w:rPr>
          <w:rFonts w:cstheme="minorHAnsi"/>
          <w:sz w:val="24"/>
          <w:szCs w:val="24"/>
        </w:rPr>
        <w:t xml:space="preserve">Our study </w:t>
      </w:r>
      <w:r w:rsidR="00774F31" w:rsidRPr="005C6D34">
        <w:rPr>
          <w:rFonts w:cstheme="minorHAnsi"/>
          <w:sz w:val="24"/>
          <w:szCs w:val="24"/>
        </w:rPr>
        <w:t>has found that</w:t>
      </w:r>
      <w:r w:rsidR="00511EF9" w:rsidRPr="005C6D34">
        <w:rPr>
          <w:rFonts w:cstheme="minorHAnsi"/>
          <w:sz w:val="24"/>
          <w:szCs w:val="24"/>
        </w:rPr>
        <w:t xml:space="preserve"> </w:t>
      </w:r>
      <w:r w:rsidRPr="005C6D34">
        <w:rPr>
          <w:rFonts w:cstheme="minorHAnsi"/>
          <w:sz w:val="24"/>
          <w:szCs w:val="24"/>
        </w:rPr>
        <w:t xml:space="preserve">socio-economic discontents </w:t>
      </w:r>
      <w:r w:rsidR="00127018" w:rsidRPr="005C6D34">
        <w:rPr>
          <w:rFonts w:cstheme="minorHAnsi"/>
          <w:sz w:val="24"/>
          <w:szCs w:val="24"/>
        </w:rPr>
        <w:t xml:space="preserve">can </w:t>
      </w:r>
      <w:r w:rsidRPr="005C6D34">
        <w:rPr>
          <w:rFonts w:cstheme="minorHAnsi"/>
          <w:sz w:val="24"/>
          <w:szCs w:val="24"/>
        </w:rPr>
        <w:t>influence young people’s voting behaviours in Nigeria</w:t>
      </w:r>
      <w:r w:rsidR="00511EF9" w:rsidRPr="005C6D34">
        <w:rPr>
          <w:rFonts w:cstheme="minorHAnsi"/>
          <w:sz w:val="24"/>
          <w:szCs w:val="24"/>
        </w:rPr>
        <w:t>.</w:t>
      </w:r>
      <w:r w:rsidR="00127018" w:rsidRPr="005C6D34">
        <w:rPr>
          <w:rFonts w:cstheme="minorHAnsi"/>
          <w:sz w:val="24"/>
          <w:szCs w:val="24"/>
        </w:rPr>
        <w:t xml:space="preserve"> </w:t>
      </w:r>
      <w:r w:rsidR="00774F31" w:rsidRPr="005C6D34">
        <w:rPr>
          <w:rFonts w:cstheme="minorHAnsi"/>
          <w:sz w:val="24"/>
          <w:szCs w:val="24"/>
        </w:rPr>
        <w:t xml:space="preserve">The empirical evidence </w:t>
      </w:r>
      <w:r w:rsidR="009014E8" w:rsidRPr="005C6D34">
        <w:rPr>
          <w:rFonts w:cstheme="minorHAnsi"/>
          <w:sz w:val="24"/>
          <w:szCs w:val="24"/>
        </w:rPr>
        <w:t xml:space="preserve">shows </w:t>
      </w:r>
      <w:r w:rsidR="00127018" w:rsidRPr="005C6D34">
        <w:rPr>
          <w:rFonts w:cstheme="minorHAnsi"/>
          <w:sz w:val="24"/>
          <w:szCs w:val="24"/>
        </w:rPr>
        <w:t xml:space="preserve">that </w:t>
      </w:r>
      <w:r w:rsidRPr="005C6D34">
        <w:rPr>
          <w:rFonts w:cstheme="minorHAnsi"/>
          <w:sz w:val="24"/>
          <w:szCs w:val="24"/>
        </w:rPr>
        <w:t xml:space="preserve">digital space engagements </w:t>
      </w:r>
      <w:r w:rsidR="009014E8" w:rsidRPr="005C6D34">
        <w:rPr>
          <w:rFonts w:cstheme="minorHAnsi"/>
          <w:sz w:val="24"/>
          <w:szCs w:val="24"/>
        </w:rPr>
        <w:t xml:space="preserve">has played a part in </w:t>
      </w:r>
      <w:r w:rsidR="00E93026" w:rsidRPr="005C6D34">
        <w:rPr>
          <w:rFonts w:cstheme="minorHAnsi"/>
          <w:sz w:val="24"/>
          <w:szCs w:val="24"/>
        </w:rPr>
        <w:t>increas</w:t>
      </w:r>
      <w:r w:rsidR="009014E8" w:rsidRPr="005C6D34">
        <w:rPr>
          <w:rFonts w:cstheme="minorHAnsi"/>
          <w:sz w:val="24"/>
          <w:szCs w:val="24"/>
        </w:rPr>
        <w:t>ing</w:t>
      </w:r>
      <w:r w:rsidRPr="005C6D34">
        <w:rPr>
          <w:rFonts w:cstheme="minorHAnsi"/>
          <w:sz w:val="24"/>
          <w:szCs w:val="24"/>
        </w:rPr>
        <w:t xml:space="preserve"> voter registration</w:t>
      </w:r>
      <w:r w:rsidR="00E93026" w:rsidRPr="005C6D34">
        <w:rPr>
          <w:rFonts w:cstheme="minorHAnsi"/>
          <w:sz w:val="24"/>
          <w:szCs w:val="24"/>
        </w:rPr>
        <w:t>.</w:t>
      </w:r>
      <w:r w:rsidR="00703F48" w:rsidRPr="005C6D34">
        <w:rPr>
          <w:rFonts w:cstheme="minorHAnsi"/>
          <w:sz w:val="24"/>
          <w:szCs w:val="24"/>
        </w:rPr>
        <w:t xml:space="preserve"> </w:t>
      </w:r>
      <w:r w:rsidR="006A0B6E" w:rsidRPr="005C6D34">
        <w:rPr>
          <w:rFonts w:cstheme="minorHAnsi"/>
          <w:sz w:val="24"/>
          <w:szCs w:val="24"/>
        </w:rPr>
        <w:t>The resul</w:t>
      </w:r>
      <w:r w:rsidR="00A10FB5" w:rsidRPr="005C6D34">
        <w:rPr>
          <w:rFonts w:cstheme="minorHAnsi"/>
          <w:sz w:val="24"/>
          <w:szCs w:val="24"/>
        </w:rPr>
        <w:t>ts of</w:t>
      </w:r>
      <w:r w:rsidRPr="005C6D34">
        <w:rPr>
          <w:rFonts w:cstheme="minorHAnsi"/>
          <w:sz w:val="24"/>
          <w:szCs w:val="24"/>
        </w:rPr>
        <w:t xml:space="preserve"> voter turnout in Osun, Ekiti, and Anambra states’ gubernatorial elections</w:t>
      </w:r>
      <w:r w:rsidR="00A10FB5" w:rsidRPr="005C6D34">
        <w:rPr>
          <w:rFonts w:cstheme="minorHAnsi"/>
          <w:sz w:val="24"/>
          <w:szCs w:val="24"/>
        </w:rPr>
        <w:t xml:space="preserve"> aligns with the withdrawal effect theory</w:t>
      </w:r>
      <w:r w:rsidR="006E3693" w:rsidRPr="005C6D34">
        <w:rPr>
          <w:rFonts w:cstheme="minorHAnsi"/>
          <w:sz w:val="24"/>
          <w:szCs w:val="24"/>
        </w:rPr>
        <w:t xml:space="preserve"> that</w:t>
      </w:r>
      <w:r w:rsidR="004F075C" w:rsidRPr="005C6D34">
        <w:rPr>
          <w:rFonts w:eastAsia="Georgia" w:cstheme="minorHAnsi"/>
          <w:sz w:val="24"/>
          <w:szCs w:val="24"/>
        </w:rPr>
        <w:t xml:space="preserve"> </w:t>
      </w:r>
      <w:r w:rsidR="009E45F9" w:rsidRPr="005C6D34">
        <w:rPr>
          <w:rFonts w:eastAsia="Georgia" w:cstheme="minorHAnsi"/>
          <w:sz w:val="24"/>
          <w:szCs w:val="24"/>
        </w:rPr>
        <w:t>socio</w:t>
      </w:r>
      <w:r w:rsidR="001E552A" w:rsidRPr="005C6D34">
        <w:rPr>
          <w:rFonts w:eastAsia="Georgia" w:cstheme="minorHAnsi"/>
          <w:sz w:val="24"/>
          <w:szCs w:val="24"/>
        </w:rPr>
        <w:t>-</w:t>
      </w:r>
      <w:r w:rsidR="009E45F9" w:rsidRPr="005C6D34">
        <w:rPr>
          <w:rFonts w:eastAsia="Georgia" w:cstheme="minorHAnsi"/>
          <w:sz w:val="24"/>
          <w:szCs w:val="24"/>
        </w:rPr>
        <w:t xml:space="preserve">economic factors </w:t>
      </w:r>
      <w:r w:rsidR="006E3693" w:rsidRPr="005C6D34">
        <w:rPr>
          <w:rFonts w:eastAsia="Georgia" w:cstheme="minorHAnsi"/>
          <w:sz w:val="24"/>
          <w:szCs w:val="24"/>
        </w:rPr>
        <w:t>has an inverse relationship with</w:t>
      </w:r>
      <w:r w:rsidR="4FA106B2" w:rsidRPr="005C6D34">
        <w:rPr>
          <w:rFonts w:eastAsia="Georgia" w:cstheme="minorHAnsi"/>
          <w:sz w:val="24"/>
          <w:szCs w:val="24"/>
        </w:rPr>
        <w:t xml:space="preserve"> voter </w:t>
      </w:r>
      <w:r w:rsidR="004F075C" w:rsidRPr="005C6D34">
        <w:rPr>
          <w:rFonts w:eastAsia="Georgia" w:cstheme="minorHAnsi"/>
          <w:sz w:val="24"/>
          <w:szCs w:val="24"/>
        </w:rPr>
        <w:t>behaviour</w:t>
      </w:r>
      <w:r w:rsidR="4FA106B2" w:rsidRPr="005C6D34">
        <w:rPr>
          <w:rFonts w:eastAsia="Georgia" w:cstheme="minorHAnsi"/>
          <w:sz w:val="24"/>
          <w:szCs w:val="24"/>
        </w:rPr>
        <w:t xml:space="preserve"> in Nigeria.</w:t>
      </w:r>
      <w:r w:rsidR="00F52016" w:rsidRPr="005C6D34">
        <w:rPr>
          <w:rFonts w:eastAsia="Georgia" w:cstheme="minorHAnsi"/>
          <w:sz w:val="24"/>
          <w:szCs w:val="24"/>
        </w:rPr>
        <w:t xml:space="preserve"> </w:t>
      </w:r>
    </w:p>
    <w:p w14:paraId="46A2E13B" w14:textId="6BBFB1CE" w:rsidR="4FA106B2" w:rsidRPr="005C6D34" w:rsidRDefault="006F5F3E" w:rsidP="000A687F">
      <w:pPr>
        <w:spacing w:line="360" w:lineRule="auto"/>
        <w:jc w:val="both"/>
        <w:rPr>
          <w:rFonts w:cstheme="minorHAnsi"/>
          <w:sz w:val="24"/>
          <w:szCs w:val="24"/>
        </w:rPr>
      </w:pPr>
      <w:r w:rsidRPr="005C6D34">
        <w:rPr>
          <w:rFonts w:eastAsia="Georgia" w:cstheme="minorHAnsi"/>
          <w:sz w:val="24"/>
          <w:szCs w:val="24"/>
        </w:rPr>
        <w:t>We found that</w:t>
      </w:r>
      <w:r w:rsidR="00845426" w:rsidRPr="005C6D34">
        <w:rPr>
          <w:rFonts w:eastAsia="Georgia" w:cstheme="minorHAnsi"/>
          <w:sz w:val="24"/>
          <w:szCs w:val="24"/>
        </w:rPr>
        <w:t xml:space="preserve"> the geo-political regions with higher internet usage</w:t>
      </w:r>
      <w:r w:rsidR="008D6DC7" w:rsidRPr="005C6D34">
        <w:rPr>
          <w:rFonts w:eastAsia="Georgia" w:cstheme="minorHAnsi"/>
          <w:sz w:val="24"/>
          <w:szCs w:val="24"/>
        </w:rPr>
        <w:t xml:space="preserve"> have increased</w:t>
      </w:r>
      <w:r w:rsidR="4FA106B2" w:rsidRPr="005C6D34">
        <w:rPr>
          <w:rFonts w:eastAsia="Georgia" w:cstheme="minorHAnsi"/>
          <w:sz w:val="24"/>
          <w:szCs w:val="24"/>
        </w:rPr>
        <w:t xml:space="preserve"> voter registration across the country</w:t>
      </w:r>
      <w:r w:rsidR="00E8532C" w:rsidRPr="005C6D34">
        <w:rPr>
          <w:rFonts w:eastAsia="Georgia" w:cstheme="minorHAnsi"/>
          <w:sz w:val="24"/>
          <w:szCs w:val="24"/>
        </w:rPr>
        <w:t xml:space="preserve"> and a negative correlation between </w:t>
      </w:r>
      <w:r w:rsidR="00BA1DD2" w:rsidRPr="005C6D34">
        <w:rPr>
          <w:rFonts w:eastAsia="Georgia" w:cstheme="minorHAnsi"/>
          <w:sz w:val="24"/>
          <w:szCs w:val="24"/>
        </w:rPr>
        <w:t xml:space="preserve">the </w:t>
      </w:r>
      <w:r w:rsidR="00E8532C" w:rsidRPr="005C6D34">
        <w:rPr>
          <w:rFonts w:eastAsia="Georgia" w:cstheme="minorHAnsi"/>
          <w:sz w:val="24"/>
          <w:szCs w:val="24"/>
        </w:rPr>
        <w:t>poverty level and voter registration</w:t>
      </w:r>
      <w:r w:rsidR="00BA1DD2" w:rsidRPr="005C6D34">
        <w:rPr>
          <w:rFonts w:eastAsia="Georgia" w:cstheme="minorHAnsi"/>
          <w:sz w:val="24"/>
          <w:szCs w:val="24"/>
        </w:rPr>
        <w:t xml:space="preserve"> exists</w:t>
      </w:r>
      <w:r w:rsidR="00E8532C" w:rsidRPr="005C6D34">
        <w:rPr>
          <w:rFonts w:eastAsia="Georgia" w:cstheme="minorHAnsi"/>
          <w:sz w:val="24"/>
          <w:szCs w:val="24"/>
        </w:rPr>
        <w:t xml:space="preserve">. </w:t>
      </w:r>
      <w:r w:rsidR="00BA1DD2" w:rsidRPr="005C6D34">
        <w:rPr>
          <w:rFonts w:eastAsia="Georgia" w:cstheme="minorHAnsi"/>
          <w:sz w:val="24"/>
          <w:szCs w:val="24"/>
        </w:rPr>
        <w:t xml:space="preserve">We found an inverse relationship between </w:t>
      </w:r>
      <w:r w:rsidR="00B81F74" w:rsidRPr="005C6D34">
        <w:rPr>
          <w:rFonts w:eastAsia="Georgia" w:cstheme="minorHAnsi"/>
          <w:sz w:val="24"/>
          <w:szCs w:val="24"/>
        </w:rPr>
        <w:t xml:space="preserve">the </w:t>
      </w:r>
      <w:r w:rsidR="00F66FCB" w:rsidRPr="005C6D34">
        <w:rPr>
          <w:rFonts w:eastAsia="Georgia" w:cstheme="minorHAnsi"/>
          <w:sz w:val="24"/>
          <w:szCs w:val="24"/>
        </w:rPr>
        <w:t>unemployment rate</w:t>
      </w:r>
      <w:r w:rsidR="00BA1DD2" w:rsidRPr="005C6D34">
        <w:rPr>
          <w:rFonts w:eastAsia="Georgia" w:cstheme="minorHAnsi"/>
          <w:sz w:val="24"/>
          <w:szCs w:val="24"/>
        </w:rPr>
        <w:t xml:space="preserve"> and voter turnout in Anambra, Ekiti, and Osun gubernatorial elections. </w:t>
      </w:r>
      <w:r w:rsidR="4FA106B2" w:rsidRPr="005C6D34">
        <w:rPr>
          <w:rFonts w:eastAsia="Georgia" w:cstheme="minorHAnsi"/>
          <w:sz w:val="24"/>
          <w:szCs w:val="24"/>
        </w:rPr>
        <w:t>When young people – who are often not part of the decision</w:t>
      </w:r>
      <w:r w:rsidR="00407AF2" w:rsidRPr="005C6D34">
        <w:rPr>
          <w:rFonts w:eastAsia="Georgia" w:cstheme="minorHAnsi"/>
          <w:sz w:val="24"/>
          <w:szCs w:val="24"/>
        </w:rPr>
        <w:t>–</w:t>
      </w:r>
      <w:r w:rsidR="4FA106B2" w:rsidRPr="005C6D34">
        <w:rPr>
          <w:rFonts w:eastAsia="Georgia" w:cstheme="minorHAnsi"/>
          <w:sz w:val="24"/>
          <w:szCs w:val="24"/>
        </w:rPr>
        <w:t>making processes in c</w:t>
      </w:r>
      <w:r w:rsidR="006B4C33" w:rsidRPr="005C6D34">
        <w:rPr>
          <w:rFonts w:eastAsia="Georgia" w:cstheme="minorHAnsi"/>
          <w:sz w:val="24"/>
          <w:szCs w:val="24"/>
        </w:rPr>
        <w:t>and</w:t>
      </w:r>
      <w:r w:rsidR="4FA106B2" w:rsidRPr="005C6D34">
        <w:rPr>
          <w:rFonts w:eastAsia="Georgia" w:cstheme="minorHAnsi"/>
          <w:sz w:val="24"/>
          <w:szCs w:val="24"/>
        </w:rPr>
        <w:t>idate selection– are faced with limited choices, there is the likelihood they may not turn out to vote on election day</w:t>
      </w:r>
      <w:r w:rsidR="00391211" w:rsidRPr="005C6D34">
        <w:rPr>
          <w:rFonts w:eastAsia="Georgia" w:cstheme="minorHAnsi"/>
          <w:sz w:val="24"/>
          <w:szCs w:val="24"/>
        </w:rPr>
        <w:t>,</w:t>
      </w:r>
      <w:r w:rsidR="4FA106B2" w:rsidRPr="005C6D34">
        <w:rPr>
          <w:rFonts w:eastAsia="Georgia" w:cstheme="minorHAnsi"/>
          <w:sz w:val="24"/>
          <w:szCs w:val="24"/>
        </w:rPr>
        <w:t xml:space="preserve"> even with the seemingly successful voter registration drive (Adigun 2020). When </w:t>
      </w:r>
      <w:r w:rsidR="00391211" w:rsidRPr="005C6D34">
        <w:rPr>
          <w:rFonts w:eastAsia="Georgia" w:cstheme="minorHAnsi"/>
          <w:sz w:val="24"/>
          <w:szCs w:val="24"/>
        </w:rPr>
        <w:t>uninspiring c</w:t>
      </w:r>
      <w:r w:rsidR="006B4C33" w:rsidRPr="005C6D34">
        <w:rPr>
          <w:rFonts w:eastAsia="Georgia" w:cstheme="minorHAnsi"/>
          <w:sz w:val="24"/>
          <w:szCs w:val="24"/>
        </w:rPr>
        <w:t>and</w:t>
      </w:r>
      <w:r w:rsidR="00391211" w:rsidRPr="005C6D34">
        <w:rPr>
          <w:rFonts w:eastAsia="Georgia" w:cstheme="minorHAnsi"/>
          <w:sz w:val="24"/>
          <w:szCs w:val="24"/>
        </w:rPr>
        <w:t>idates characterise election</w:t>
      </w:r>
      <w:r w:rsidR="4FA106B2" w:rsidRPr="005C6D34">
        <w:rPr>
          <w:rFonts w:eastAsia="Georgia" w:cstheme="minorHAnsi"/>
          <w:sz w:val="24"/>
          <w:szCs w:val="24"/>
        </w:rPr>
        <w:t xml:space="preserve">s without clear alternatives (Vera 2022), there are higher chances of low voter turnouts </w:t>
      </w:r>
      <w:r w:rsidR="006B4C33" w:rsidRPr="005C6D34">
        <w:rPr>
          <w:rFonts w:eastAsia="Georgia" w:cstheme="minorHAnsi"/>
          <w:sz w:val="24"/>
          <w:szCs w:val="24"/>
        </w:rPr>
        <w:t>and</w:t>
      </w:r>
      <w:r w:rsidR="4FA106B2" w:rsidRPr="005C6D34">
        <w:rPr>
          <w:rFonts w:eastAsia="Georgia" w:cstheme="minorHAnsi"/>
          <w:sz w:val="24"/>
          <w:szCs w:val="24"/>
        </w:rPr>
        <w:t xml:space="preserve"> increased post</w:t>
      </w:r>
      <w:r w:rsidR="001E552A" w:rsidRPr="005C6D34">
        <w:rPr>
          <w:rFonts w:eastAsia="Georgia" w:cstheme="minorHAnsi"/>
          <w:sz w:val="24"/>
          <w:szCs w:val="24"/>
        </w:rPr>
        <w:t>-</w:t>
      </w:r>
      <w:r w:rsidR="4FA106B2" w:rsidRPr="005C6D34">
        <w:rPr>
          <w:rFonts w:eastAsia="Georgia" w:cstheme="minorHAnsi"/>
          <w:sz w:val="24"/>
          <w:szCs w:val="24"/>
        </w:rPr>
        <w:t xml:space="preserve">election violence involving young people </w:t>
      </w:r>
      <w:r w:rsidR="00391211" w:rsidRPr="005C6D34">
        <w:rPr>
          <w:rFonts w:eastAsia="Georgia" w:cstheme="minorHAnsi"/>
          <w:sz w:val="24"/>
          <w:szCs w:val="24"/>
        </w:rPr>
        <w:t>expressing</w:t>
      </w:r>
      <w:r w:rsidR="4FA106B2" w:rsidRPr="005C6D34">
        <w:rPr>
          <w:rFonts w:eastAsia="Georgia" w:cstheme="minorHAnsi"/>
          <w:sz w:val="24"/>
          <w:szCs w:val="24"/>
        </w:rPr>
        <w:t xml:space="preserve"> their displeasure </w:t>
      </w:r>
      <w:r w:rsidR="00391211" w:rsidRPr="005C6D34">
        <w:rPr>
          <w:rFonts w:eastAsia="Georgia" w:cstheme="minorHAnsi"/>
          <w:sz w:val="24"/>
          <w:szCs w:val="24"/>
        </w:rPr>
        <w:t>with</w:t>
      </w:r>
      <w:r w:rsidR="4FA106B2" w:rsidRPr="005C6D34">
        <w:rPr>
          <w:rFonts w:eastAsia="Georgia" w:cstheme="minorHAnsi"/>
          <w:sz w:val="24"/>
          <w:szCs w:val="24"/>
        </w:rPr>
        <w:t xml:space="preserve"> the outcome of the process.   </w:t>
      </w:r>
    </w:p>
    <w:p w14:paraId="5B5788AC" w14:textId="22F30DA3" w:rsidR="4FA106B2" w:rsidRPr="005C6D34" w:rsidRDefault="00353107" w:rsidP="000A687F">
      <w:pPr>
        <w:spacing w:line="360" w:lineRule="auto"/>
        <w:jc w:val="both"/>
        <w:rPr>
          <w:rFonts w:cstheme="minorHAnsi"/>
          <w:sz w:val="24"/>
          <w:szCs w:val="24"/>
        </w:rPr>
      </w:pPr>
      <w:r w:rsidRPr="005C6D34">
        <w:rPr>
          <w:rFonts w:eastAsia="Georgia" w:cstheme="minorHAnsi"/>
          <w:sz w:val="24"/>
          <w:szCs w:val="24"/>
        </w:rPr>
        <w:t>Although</w:t>
      </w:r>
      <w:r w:rsidR="4FA106B2" w:rsidRPr="005C6D34">
        <w:rPr>
          <w:rFonts w:eastAsia="Georgia" w:cstheme="minorHAnsi"/>
          <w:sz w:val="24"/>
          <w:szCs w:val="24"/>
        </w:rPr>
        <w:t xml:space="preserve"> social media has </w:t>
      </w:r>
      <w:r w:rsidR="003B2F83" w:rsidRPr="005C6D34">
        <w:rPr>
          <w:rFonts w:eastAsia="Georgia" w:cstheme="minorHAnsi"/>
          <w:sz w:val="24"/>
          <w:szCs w:val="24"/>
        </w:rPr>
        <w:t xml:space="preserve">a positive correlation </w:t>
      </w:r>
      <w:r w:rsidR="00EE5326" w:rsidRPr="005C6D34">
        <w:rPr>
          <w:rFonts w:eastAsia="Georgia" w:cstheme="minorHAnsi"/>
          <w:sz w:val="24"/>
          <w:szCs w:val="24"/>
        </w:rPr>
        <w:t>with</w:t>
      </w:r>
      <w:r w:rsidR="4FA106B2" w:rsidRPr="005C6D34">
        <w:rPr>
          <w:rFonts w:eastAsia="Georgia" w:cstheme="minorHAnsi"/>
          <w:sz w:val="24"/>
          <w:szCs w:val="24"/>
        </w:rPr>
        <w:t xml:space="preserve"> political </w:t>
      </w:r>
      <w:r w:rsidR="00EE5326" w:rsidRPr="005C6D34">
        <w:rPr>
          <w:rFonts w:eastAsia="Georgia" w:cstheme="minorHAnsi"/>
          <w:sz w:val="24"/>
          <w:szCs w:val="24"/>
        </w:rPr>
        <w:t>activity</w:t>
      </w:r>
      <w:r w:rsidR="4FA106B2" w:rsidRPr="005C6D34">
        <w:rPr>
          <w:rFonts w:eastAsia="Georgia" w:cstheme="minorHAnsi"/>
          <w:sz w:val="24"/>
          <w:szCs w:val="24"/>
        </w:rPr>
        <w:t xml:space="preserve">, there is little evidence to show it can influence </w:t>
      </w:r>
      <w:r w:rsidR="000A687F" w:rsidRPr="005C6D34">
        <w:rPr>
          <w:rFonts w:eastAsia="Georgia" w:cstheme="minorHAnsi"/>
          <w:sz w:val="24"/>
          <w:szCs w:val="24"/>
        </w:rPr>
        <w:t xml:space="preserve">the </w:t>
      </w:r>
      <w:r w:rsidR="4FA106B2" w:rsidRPr="005C6D34">
        <w:rPr>
          <w:rFonts w:eastAsia="Georgia" w:cstheme="minorHAnsi"/>
          <w:sz w:val="24"/>
          <w:szCs w:val="24"/>
        </w:rPr>
        <w:t xml:space="preserve">outcomes of elections. For there to be a discussion about voter </w:t>
      </w:r>
      <w:r w:rsidR="4FA106B2" w:rsidRPr="005C6D34">
        <w:rPr>
          <w:rFonts w:eastAsia="Georgia" w:cstheme="minorHAnsi"/>
          <w:sz w:val="24"/>
          <w:szCs w:val="24"/>
        </w:rPr>
        <w:lastRenderedPageBreak/>
        <w:t>turnout or accreditation, there should be a conclusion on voter registration first. Without increasing voter registration, it is difficult to have more turnout in the election</w:t>
      </w:r>
      <w:r w:rsidR="000A687F" w:rsidRPr="005C6D34">
        <w:rPr>
          <w:rFonts w:eastAsia="Georgia" w:cstheme="minorHAnsi"/>
          <w:sz w:val="24"/>
          <w:szCs w:val="24"/>
        </w:rPr>
        <w:t>,</w:t>
      </w:r>
      <w:r w:rsidR="4FA106B2" w:rsidRPr="005C6D34">
        <w:rPr>
          <w:rFonts w:eastAsia="Georgia" w:cstheme="minorHAnsi"/>
          <w:sz w:val="24"/>
          <w:szCs w:val="24"/>
        </w:rPr>
        <w:t xml:space="preserve"> especially among first</w:t>
      </w:r>
      <w:r w:rsidR="001E552A" w:rsidRPr="005C6D34">
        <w:rPr>
          <w:rFonts w:eastAsia="Georgia" w:cstheme="minorHAnsi"/>
          <w:sz w:val="24"/>
          <w:szCs w:val="24"/>
        </w:rPr>
        <w:t>-</w:t>
      </w:r>
      <w:r w:rsidR="4FA106B2" w:rsidRPr="005C6D34">
        <w:rPr>
          <w:rFonts w:eastAsia="Georgia" w:cstheme="minorHAnsi"/>
          <w:sz w:val="24"/>
          <w:szCs w:val="24"/>
        </w:rPr>
        <w:t>time voters. The importance of social media was seen when the Nigerian government banned the operation of Twitter in the country after its successful mobili</w:t>
      </w:r>
      <w:r w:rsidR="00721E6B" w:rsidRPr="005C6D34">
        <w:rPr>
          <w:rFonts w:eastAsia="Georgia" w:cstheme="minorHAnsi"/>
          <w:sz w:val="24"/>
          <w:szCs w:val="24"/>
        </w:rPr>
        <w:t>s</w:t>
      </w:r>
      <w:r w:rsidR="4FA106B2" w:rsidRPr="005C6D34">
        <w:rPr>
          <w:rFonts w:eastAsia="Georgia" w:cstheme="minorHAnsi"/>
          <w:sz w:val="24"/>
          <w:szCs w:val="24"/>
        </w:rPr>
        <w:t>ation effort for the #</w:t>
      </w:r>
      <w:r w:rsidR="00DF6FCF" w:rsidRPr="005C6D34">
        <w:rPr>
          <w:rFonts w:eastAsia="Georgia" w:cstheme="minorHAnsi"/>
          <w:sz w:val="24"/>
          <w:szCs w:val="24"/>
        </w:rPr>
        <w:t>End</w:t>
      </w:r>
      <w:r w:rsidR="00196DD5" w:rsidRPr="005C6D34">
        <w:rPr>
          <w:rFonts w:eastAsia="Georgia" w:cstheme="minorHAnsi"/>
          <w:sz w:val="24"/>
          <w:szCs w:val="24"/>
        </w:rPr>
        <w:t>SARs</w:t>
      </w:r>
      <w:r w:rsidR="00DF6FCF" w:rsidRPr="005C6D34">
        <w:rPr>
          <w:rFonts w:eastAsia="Georgia" w:cstheme="minorHAnsi"/>
          <w:sz w:val="24"/>
          <w:szCs w:val="24"/>
        </w:rPr>
        <w:t xml:space="preserve"> </w:t>
      </w:r>
      <w:r w:rsidR="4FA106B2" w:rsidRPr="005C6D34">
        <w:rPr>
          <w:rFonts w:eastAsia="Georgia" w:cstheme="minorHAnsi"/>
          <w:sz w:val="24"/>
          <w:szCs w:val="24"/>
        </w:rPr>
        <w:t xml:space="preserve">protests earlier in 2020. </w:t>
      </w:r>
      <w:r w:rsidR="00AE01C5" w:rsidRPr="005C6D34">
        <w:rPr>
          <w:rFonts w:eastAsia="Georgia" w:cstheme="minorHAnsi"/>
          <w:sz w:val="24"/>
          <w:szCs w:val="24"/>
        </w:rPr>
        <w:t>S</w:t>
      </w:r>
      <w:r w:rsidR="4FA106B2" w:rsidRPr="005C6D34">
        <w:rPr>
          <w:rFonts w:eastAsia="Georgia" w:cstheme="minorHAnsi"/>
          <w:sz w:val="24"/>
          <w:szCs w:val="24"/>
        </w:rPr>
        <w:t xml:space="preserve">ocial media </w:t>
      </w:r>
      <w:r w:rsidR="001E552A" w:rsidRPr="005C6D34">
        <w:rPr>
          <w:rFonts w:eastAsia="Georgia" w:cstheme="minorHAnsi"/>
          <w:sz w:val="24"/>
          <w:szCs w:val="24"/>
        </w:rPr>
        <w:t>can help</w:t>
      </w:r>
      <w:r w:rsidR="4FA106B2" w:rsidRPr="005C6D34">
        <w:rPr>
          <w:rFonts w:eastAsia="Georgia" w:cstheme="minorHAnsi"/>
          <w:sz w:val="24"/>
          <w:szCs w:val="24"/>
        </w:rPr>
        <w:t xml:space="preserve"> raise </w:t>
      </w:r>
      <w:r w:rsidR="00391211" w:rsidRPr="005C6D34">
        <w:rPr>
          <w:rFonts w:eastAsia="Georgia" w:cstheme="minorHAnsi"/>
          <w:sz w:val="24"/>
          <w:szCs w:val="24"/>
        </w:rPr>
        <w:t>aware</w:t>
      </w:r>
      <w:r w:rsidR="4FA106B2" w:rsidRPr="005C6D34">
        <w:rPr>
          <w:rFonts w:eastAsia="Georgia" w:cstheme="minorHAnsi"/>
          <w:sz w:val="24"/>
          <w:szCs w:val="24"/>
        </w:rPr>
        <w:t xml:space="preserve">ness of issues affecting young people during the campaigns that may shape the election. Also, the major actors will respond to the charges posed by social media vigorously as the campaigns intensify. </w:t>
      </w:r>
    </w:p>
    <w:p w14:paraId="41A9E1B2" w14:textId="7297B8D0" w:rsidR="4FA106B2" w:rsidRPr="005C6D34" w:rsidRDefault="001E552A" w:rsidP="000A687F">
      <w:pPr>
        <w:spacing w:line="360" w:lineRule="auto"/>
        <w:jc w:val="both"/>
        <w:rPr>
          <w:rFonts w:cstheme="minorHAnsi"/>
          <w:sz w:val="24"/>
          <w:szCs w:val="24"/>
        </w:rPr>
      </w:pPr>
      <w:r w:rsidRPr="005C6D34">
        <w:rPr>
          <w:rFonts w:eastAsia="Georgia" w:cstheme="minorHAnsi"/>
          <w:sz w:val="24"/>
          <w:szCs w:val="24"/>
        </w:rPr>
        <w:t xml:space="preserve">There is strong support for a </w:t>
      </w:r>
      <w:r w:rsidR="4FA106B2" w:rsidRPr="005C6D34">
        <w:rPr>
          <w:rFonts w:eastAsia="Georgia" w:cstheme="minorHAnsi"/>
          <w:sz w:val="24"/>
          <w:szCs w:val="24"/>
        </w:rPr>
        <w:t>third part</w:t>
      </w:r>
      <w:r w:rsidRPr="005C6D34">
        <w:rPr>
          <w:rFonts w:eastAsia="Georgia" w:cstheme="minorHAnsi"/>
          <w:sz w:val="24"/>
          <w:szCs w:val="24"/>
        </w:rPr>
        <w:t>y to be involved</w:t>
      </w:r>
      <w:r w:rsidR="4FA106B2" w:rsidRPr="005C6D34">
        <w:rPr>
          <w:rFonts w:eastAsia="Georgia" w:cstheme="minorHAnsi"/>
          <w:sz w:val="24"/>
          <w:szCs w:val="24"/>
        </w:rPr>
        <w:t xml:space="preserve"> in Nigerian elections</w:t>
      </w:r>
      <w:r w:rsidR="00AE01C5" w:rsidRPr="005C6D34">
        <w:rPr>
          <w:rFonts w:eastAsia="Georgia" w:cstheme="minorHAnsi"/>
          <w:sz w:val="24"/>
          <w:szCs w:val="24"/>
        </w:rPr>
        <w:t xml:space="preserve"> to break the</w:t>
      </w:r>
      <w:r w:rsidR="4FA106B2" w:rsidRPr="005C6D34">
        <w:rPr>
          <w:rFonts w:eastAsia="Georgia" w:cstheme="minorHAnsi"/>
          <w:sz w:val="24"/>
          <w:szCs w:val="24"/>
        </w:rPr>
        <w:t xml:space="preserve"> traditional </w:t>
      </w:r>
      <w:r w:rsidRPr="005C6D34">
        <w:rPr>
          <w:rFonts w:eastAsia="Georgia" w:cstheme="minorHAnsi"/>
          <w:sz w:val="24"/>
          <w:szCs w:val="24"/>
        </w:rPr>
        <w:t>‘</w:t>
      </w:r>
      <w:r w:rsidR="4FA106B2" w:rsidRPr="005C6D34">
        <w:rPr>
          <w:rFonts w:eastAsia="Georgia" w:cstheme="minorHAnsi"/>
          <w:sz w:val="24"/>
          <w:szCs w:val="24"/>
        </w:rPr>
        <w:t>two</w:t>
      </w:r>
      <w:r w:rsidR="00407AF2" w:rsidRPr="005C6D34">
        <w:rPr>
          <w:rFonts w:eastAsia="Georgia" w:cstheme="minorHAnsi"/>
          <w:sz w:val="24"/>
          <w:szCs w:val="24"/>
        </w:rPr>
        <w:t>–</w:t>
      </w:r>
      <w:r w:rsidR="4FA106B2" w:rsidRPr="005C6D34">
        <w:rPr>
          <w:rFonts w:eastAsia="Georgia" w:cstheme="minorHAnsi"/>
          <w:sz w:val="24"/>
          <w:szCs w:val="24"/>
        </w:rPr>
        <w:t>horse</w:t>
      </w:r>
      <w:r w:rsidRPr="005C6D34">
        <w:rPr>
          <w:rFonts w:eastAsia="Georgia" w:cstheme="minorHAnsi"/>
          <w:sz w:val="24"/>
          <w:szCs w:val="24"/>
        </w:rPr>
        <w:t>’</w:t>
      </w:r>
      <w:r w:rsidR="4FA106B2" w:rsidRPr="005C6D34">
        <w:rPr>
          <w:rFonts w:eastAsia="Georgia" w:cstheme="minorHAnsi"/>
          <w:sz w:val="24"/>
          <w:szCs w:val="24"/>
        </w:rPr>
        <w:t xml:space="preserve"> race. Ekiti </w:t>
      </w:r>
      <w:r w:rsidR="00087427" w:rsidRPr="005C6D34">
        <w:rPr>
          <w:rFonts w:eastAsia="Georgia" w:cstheme="minorHAnsi"/>
          <w:sz w:val="24"/>
          <w:szCs w:val="24"/>
        </w:rPr>
        <w:t>&amp;</w:t>
      </w:r>
      <w:r w:rsidR="4FA106B2" w:rsidRPr="005C6D34">
        <w:rPr>
          <w:rFonts w:eastAsia="Georgia" w:cstheme="minorHAnsi"/>
          <w:sz w:val="24"/>
          <w:szCs w:val="24"/>
        </w:rPr>
        <w:t xml:space="preserve"> Anambra show </w:t>
      </w:r>
      <w:r w:rsidR="00196DD5" w:rsidRPr="005C6D34">
        <w:rPr>
          <w:rFonts w:eastAsia="Georgia" w:cstheme="minorHAnsi"/>
          <w:sz w:val="24"/>
          <w:szCs w:val="24"/>
        </w:rPr>
        <w:t xml:space="preserve">the </w:t>
      </w:r>
      <w:r w:rsidR="4FA106B2" w:rsidRPr="005C6D34">
        <w:rPr>
          <w:rFonts w:eastAsia="Georgia" w:cstheme="minorHAnsi"/>
          <w:sz w:val="24"/>
          <w:szCs w:val="24"/>
        </w:rPr>
        <w:t>increasing influence of third parties</w:t>
      </w:r>
      <w:r w:rsidR="004F4232" w:rsidRPr="005C6D34">
        <w:rPr>
          <w:rFonts w:eastAsia="Georgia" w:cstheme="minorHAnsi"/>
          <w:sz w:val="24"/>
          <w:szCs w:val="24"/>
        </w:rPr>
        <w:t>,</w:t>
      </w:r>
      <w:r w:rsidR="4FA106B2" w:rsidRPr="005C6D34">
        <w:rPr>
          <w:rFonts w:eastAsia="Georgia" w:cstheme="minorHAnsi"/>
          <w:sz w:val="24"/>
          <w:szCs w:val="24"/>
        </w:rPr>
        <w:t xml:space="preserve"> which appear to be closing ranks </w:t>
      </w:r>
      <w:r w:rsidR="00087427" w:rsidRPr="005C6D34">
        <w:rPr>
          <w:rFonts w:eastAsia="Georgia" w:cstheme="minorHAnsi"/>
          <w:sz w:val="24"/>
          <w:szCs w:val="24"/>
        </w:rPr>
        <w:t>&amp;</w:t>
      </w:r>
      <w:r w:rsidR="4FA106B2" w:rsidRPr="005C6D34">
        <w:rPr>
          <w:rFonts w:eastAsia="Georgia" w:cstheme="minorHAnsi"/>
          <w:sz w:val="24"/>
          <w:szCs w:val="24"/>
        </w:rPr>
        <w:t xml:space="preserve"> voting gaps </w:t>
      </w:r>
      <w:r w:rsidRPr="005C6D34">
        <w:rPr>
          <w:rFonts w:eastAsia="Georgia" w:cstheme="minorHAnsi"/>
          <w:sz w:val="24"/>
          <w:szCs w:val="24"/>
        </w:rPr>
        <w:t xml:space="preserve">between </w:t>
      </w:r>
      <w:r w:rsidR="4FA106B2" w:rsidRPr="005C6D34">
        <w:rPr>
          <w:rFonts w:eastAsia="Georgia" w:cstheme="minorHAnsi"/>
          <w:sz w:val="24"/>
          <w:szCs w:val="24"/>
        </w:rPr>
        <w:t>the main</w:t>
      </w:r>
      <w:r w:rsidRPr="005C6D34">
        <w:rPr>
          <w:rFonts w:eastAsia="Georgia" w:cstheme="minorHAnsi"/>
          <w:sz w:val="24"/>
          <w:szCs w:val="24"/>
        </w:rPr>
        <w:t xml:space="preserve"> parties.</w:t>
      </w:r>
      <w:r w:rsidR="4FA106B2" w:rsidRPr="005C6D34">
        <w:rPr>
          <w:rFonts w:eastAsia="Georgia" w:cstheme="minorHAnsi"/>
          <w:sz w:val="24"/>
          <w:szCs w:val="24"/>
        </w:rPr>
        <w:t xml:space="preserve"> The attitudes of third parties will either make or break the outcomes of the 2023 elections. During the 2018 gubernatorial election in Osun state, it took political negotiations between the APC </w:t>
      </w:r>
      <w:r w:rsidR="00245697" w:rsidRPr="005C6D34">
        <w:rPr>
          <w:rFonts w:eastAsia="Georgia" w:cstheme="minorHAnsi"/>
          <w:sz w:val="24"/>
          <w:szCs w:val="24"/>
        </w:rPr>
        <w:t>and</w:t>
      </w:r>
      <w:r w:rsidR="4FA106B2" w:rsidRPr="005C6D34">
        <w:rPr>
          <w:rFonts w:eastAsia="Georgia" w:cstheme="minorHAnsi"/>
          <w:sz w:val="24"/>
          <w:szCs w:val="24"/>
        </w:rPr>
        <w:t xml:space="preserve"> the third party, </w:t>
      </w:r>
      <w:r w:rsidRPr="005C6D34">
        <w:rPr>
          <w:rFonts w:eastAsia="Georgia" w:cstheme="minorHAnsi"/>
          <w:sz w:val="24"/>
          <w:szCs w:val="24"/>
        </w:rPr>
        <w:t xml:space="preserve">the </w:t>
      </w:r>
      <w:r w:rsidR="00195EA4" w:rsidRPr="005C6D34">
        <w:rPr>
          <w:rFonts w:eastAsia="Georgia" w:cstheme="minorHAnsi"/>
          <w:sz w:val="24"/>
          <w:szCs w:val="24"/>
        </w:rPr>
        <w:t>Social Democratic Party (SDP)</w:t>
      </w:r>
      <w:r w:rsidR="4FA106B2" w:rsidRPr="005C6D34">
        <w:rPr>
          <w:rFonts w:eastAsia="Georgia" w:cstheme="minorHAnsi"/>
          <w:sz w:val="24"/>
          <w:szCs w:val="24"/>
        </w:rPr>
        <w:t>, to guarantee victory for the former during the run</w:t>
      </w:r>
      <w:r w:rsidRPr="005C6D34">
        <w:rPr>
          <w:rFonts w:eastAsia="Georgia" w:cstheme="minorHAnsi"/>
          <w:sz w:val="24"/>
          <w:szCs w:val="24"/>
        </w:rPr>
        <w:t>-</w:t>
      </w:r>
      <w:r w:rsidR="4FA106B2" w:rsidRPr="005C6D34">
        <w:rPr>
          <w:rFonts w:eastAsia="Georgia" w:cstheme="minorHAnsi"/>
          <w:sz w:val="24"/>
          <w:szCs w:val="24"/>
        </w:rPr>
        <w:t>off. In 2022, the reverse was the case. As the results in the three states show, only parties with full mobili</w:t>
      </w:r>
      <w:r w:rsidR="00721E6B" w:rsidRPr="005C6D34">
        <w:rPr>
          <w:rFonts w:eastAsia="Georgia" w:cstheme="minorHAnsi"/>
          <w:sz w:val="24"/>
          <w:szCs w:val="24"/>
        </w:rPr>
        <w:t>s</w:t>
      </w:r>
      <w:r w:rsidR="4FA106B2" w:rsidRPr="005C6D34">
        <w:rPr>
          <w:rFonts w:eastAsia="Georgia" w:cstheme="minorHAnsi"/>
          <w:sz w:val="24"/>
          <w:szCs w:val="24"/>
        </w:rPr>
        <w:t xml:space="preserve">ation capabilities can win elections or influence the outcomes. </w:t>
      </w:r>
      <w:r w:rsidR="00AE01C5" w:rsidRPr="005C6D34">
        <w:rPr>
          <w:rFonts w:eastAsia="Georgia" w:cstheme="minorHAnsi"/>
          <w:sz w:val="24"/>
          <w:szCs w:val="24"/>
        </w:rPr>
        <w:t>T</w:t>
      </w:r>
      <w:r w:rsidR="4FA106B2" w:rsidRPr="005C6D34">
        <w:rPr>
          <w:rFonts w:eastAsia="Georgia" w:cstheme="minorHAnsi"/>
          <w:sz w:val="24"/>
          <w:szCs w:val="24"/>
        </w:rPr>
        <w:t xml:space="preserve">he rise in third parties confers </w:t>
      </w:r>
      <w:r w:rsidR="00BE360E" w:rsidRPr="005C6D34">
        <w:rPr>
          <w:rFonts w:eastAsia="Georgia" w:cstheme="minorHAnsi"/>
          <w:sz w:val="24"/>
          <w:szCs w:val="24"/>
        </w:rPr>
        <w:t xml:space="preserve">a </w:t>
      </w:r>
      <w:r w:rsidR="4FA106B2" w:rsidRPr="005C6D34">
        <w:rPr>
          <w:rFonts w:eastAsia="Georgia" w:cstheme="minorHAnsi"/>
          <w:sz w:val="24"/>
          <w:szCs w:val="24"/>
        </w:rPr>
        <w:t xml:space="preserve">slight advantage to the incumbents </w:t>
      </w:r>
      <w:r w:rsidR="00BE360E" w:rsidRPr="005C6D34">
        <w:rPr>
          <w:rFonts w:eastAsia="Georgia" w:cstheme="minorHAnsi"/>
          <w:sz w:val="24"/>
          <w:szCs w:val="24"/>
        </w:rPr>
        <w:t>over</w:t>
      </w:r>
      <w:r w:rsidR="4FA106B2" w:rsidRPr="005C6D34">
        <w:rPr>
          <w:rFonts w:eastAsia="Georgia" w:cstheme="minorHAnsi"/>
          <w:sz w:val="24"/>
          <w:szCs w:val="24"/>
        </w:rPr>
        <w:t xml:space="preserve"> the opposition. </w:t>
      </w:r>
    </w:p>
    <w:p w14:paraId="2F859AE4" w14:textId="3F441123" w:rsidR="00F119E1" w:rsidRPr="005C6D34" w:rsidRDefault="4FA106B2" w:rsidP="001E2324">
      <w:pPr>
        <w:spacing w:line="360" w:lineRule="auto"/>
        <w:jc w:val="both"/>
        <w:rPr>
          <w:rFonts w:eastAsia="Georgia" w:cstheme="minorHAnsi"/>
          <w:sz w:val="24"/>
          <w:szCs w:val="24"/>
        </w:rPr>
      </w:pPr>
      <w:r w:rsidRPr="005C6D34">
        <w:rPr>
          <w:rFonts w:eastAsia="Georgia" w:cstheme="minorHAnsi"/>
          <w:sz w:val="24"/>
          <w:szCs w:val="24"/>
        </w:rPr>
        <w:t xml:space="preserve">The deployment of technology </w:t>
      </w:r>
      <w:r w:rsidR="001E552A" w:rsidRPr="005C6D34">
        <w:rPr>
          <w:rFonts w:eastAsia="Georgia" w:cstheme="minorHAnsi"/>
          <w:sz w:val="24"/>
          <w:szCs w:val="24"/>
        </w:rPr>
        <w:t>in</w:t>
      </w:r>
      <w:r w:rsidRPr="005C6D34">
        <w:rPr>
          <w:rFonts w:eastAsia="Georgia" w:cstheme="minorHAnsi"/>
          <w:sz w:val="24"/>
          <w:szCs w:val="24"/>
        </w:rPr>
        <w:t xml:space="preserve"> elections will largely reduce </w:t>
      </w:r>
      <w:r w:rsidR="00BE360E" w:rsidRPr="005C6D34">
        <w:rPr>
          <w:rFonts w:eastAsia="Georgia" w:cstheme="minorHAnsi"/>
          <w:sz w:val="24"/>
          <w:szCs w:val="24"/>
        </w:rPr>
        <w:t xml:space="preserve">the </w:t>
      </w:r>
      <w:r w:rsidRPr="005C6D34">
        <w:rPr>
          <w:rFonts w:eastAsia="Georgia" w:cstheme="minorHAnsi"/>
          <w:sz w:val="24"/>
          <w:szCs w:val="24"/>
        </w:rPr>
        <w:t xml:space="preserve">propensity to rig – from both the incumbent </w:t>
      </w:r>
      <w:r w:rsidR="00087427" w:rsidRPr="005C6D34">
        <w:rPr>
          <w:rFonts w:eastAsia="Georgia" w:cstheme="minorHAnsi"/>
          <w:sz w:val="24"/>
          <w:szCs w:val="24"/>
        </w:rPr>
        <w:t>&amp;</w:t>
      </w:r>
      <w:r w:rsidRPr="005C6D34">
        <w:rPr>
          <w:rFonts w:eastAsia="Georgia" w:cstheme="minorHAnsi"/>
          <w:sz w:val="24"/>
          <w:szCs w:val="24"/>
        </w:rPr>
        <w:t xml:space="preserve"> opposition</w:t>
      </w:r>
      <w:r w:rsidR="001E552A" w:rsidRPr="005C6D34">
        <w:rPr>
          <w:rFonts w:eastAsia="Georgia" w:cstheme="minorHAnsi"/>
          <w:sz w:val="24"/>
          <w:szCs w:val="24"/>
        </w:rPr>
        <w:t xml:space="preserve"> parties</w:t>
      </w:r>
      <w:r w:rsidRPr="005C6D34">
        <w:rPr>
          <w:rFonts w:eastAsia="Georgia" w:cstheme="minorHAnsi"/>
          <w:sz w:val="24"/>
          <w:szCs w:val="24"/>
        </w:rPr>
        <w:t xml:space="preserve">. The deployment of BVAS </w:t>
      </w:r>
      <w:r w:rsidR="0038313B" w:rsidRPr="005C6D34">
        <w:rPr>
          <w:rFonts w:eastAsia="Georgia" w:cstheme="minorHAnsi"/>
          <w:sz w:val="24"/>
          <w:szCs w:val="24"/>
        </w:rPr>
        <w:t>and</w:t>
      </w:r>
      <w:r w:rsidRPr="005C6D34">
        <w:rPr>
          <w:rFonts w:eastAsia="Georgia" w:cstheme="minorHAnsi"/>
          <w:sz w:val="24"/>
          <w:szCs w:val="24"/>
        </w:rPr>
        <w:t xml:space="preserve"> other election</w:t>
      </w:r>
      <w:r w:rsidR="001E552A" w:rsidRPr="005C6D34">
        <w:rPr>
          <w:rFonts w:eastAsia="Georgia" w:cstheme="minorHAnsi"/>
          <w:sz w:val="24"/>
          <w:szCs w:val="24"/>
        </w:rPr>
        <w:t>-</w:t>
      </w:r>
      <w:r w:rsidRPr="005C6D34">
        <w:rPr>
          <w:rFonts w:eastAsia="Georgia" w:cstheme="minorHAnsi"/>
          <w:sz w:val="24"/>
          <w:szCs w:val="24"/>
        </w:rPr>
        <w:t>related technologies will reduce the propensity for rigging during the 2023 elections. The recently</w:t>
      </w:r>
      <w:r w:rsidR="001E552A" w:rsidRPr="005C6D34">
        <w:rPr>
          <w:rFonts w:eastAsia="Georgia" w:cstheme="minorHAnsi"/>
          <w:sz w:val="24"/>
          <w:szCs w:val="24"/>
        </w:rPr>
        <w:t xml:space="preserve"> </w:t>
      </w:r>
      <w:r w:rsidRPr="005C6D34">
        <w:rPr>
          <w:rFonts w:eastAsia="Georgia" w:cstheme="minorHAnsi"/>
          <w:sz w:val="24"/>
          <w:szCs w:val="24"/>
        </w:rPr>
        <w:t xml:space="preserve">passed Electoral Act </w:t>
      </w:r>
      <w:r w:rsidR="001E552A" w:rsidRPr="005C6D34">
        <w:rPr>
          <w:rFonts w:eastAsia="Georgia" w:cstheme="minorHAnsi"/>
          <w:sz w:val="24"/>
          <w:szCs w:val="24"/>
        </w:rPr>
        <w:t>(</w:t>
      </w:r>
      <w:r w:rsidRPr="005C6D34">
        <w:rPr>
          <w:rFonts w:eastAsia="Georgia" w:cstheme="minorHAnsi"/>
          <w:sz w:val="24"/>
          <w:szCs w:val="24"/>
        </w:rPr>
        <w:t>2022</w:t>
      </w:r>
      <w:r w:rsidR="001E552A" w:rsidRPr="005C6D34">
        <w:rPr>
          <w:rFonts w:eastAsia="Georgia" w:cstheme="minorHAnsi"/>
          <w:sz w:val="24"/>
          <w:szCs w:val="24"/>
        </w:rPr>
        <w:t>)</w:t>
      </w:r>
      <w:r w:rsidRPr="005C6D34">
        <w:rPr>
          <w:rFonts w:eastAsia="Georgia" w:cstheme="minorHAnsi"/>
          <w:sz w:val="24"/>
          <w:szCs w:val="24"/>
        </w:rPr>
        <w:t xml:space="preserve"> </w:t>
      </w:r>
      <w:r w:rsidR="001E552A" w:rsidRPr="005C6D34">
        <w:rPr>
          <w:rFonts w:eastAsia="Georgia" w:cstheme="minorHAnsi"/>
          <w:sz w:val="24"/>
          <w:szCs w:val="24"/>
        </w:rPr>
        <w:t>allowed</w:t>
      </w:r>
      <w:r w:rsidRPr="005C6D34">
        <w:rPr>
          <w:rFonts w:eastAsia="Georgia" w:cstheme="minorHAnsi"/>
          <w:sz w:val="24"/>
          <w:szCs w:val="24"/>
        </w:rPr>
        <w:t xml:space="preserve"> the use of technolog</w:t>
      </w:r>
      <w:r w:rsidR="001E552A" w:rsidRPr="005C6D34">
        <w:rPr>
          <w:rFonts w:eastAsia="Georgia" w:cstheme="minorHAnsi"/>
          <w:sz w:val="24"/>
          <w:szCs w:val="24"/>
        </w:rPr>
        <w:t xml:space="preserve">y </w:t>
      </w:r>
      <w:r w:rsidRPr="005C6D34">
        <w:rPr>
          <w:rFonts w:eastAsia="Georgia" w:cstheme="minorHAnsi"/>
          <w:sz w:val="24"/>
          <w:szCs w:val="24"/>
        </w:rPr>
        <w:t xml:space="preserve">during the Ekiti </w:t>
      </w:r>
      <w:r w:rsidR="00087427" w:rsidRPr="005C6D34">
        <w:rPr>
          <w:rFonts w:eastAsia="Georgia" w:cstheme="minorHAnsi"/>
          <w:sz w:val="24"/>
          <w:szCs w:val="24"/>
        </w:rPr>
        <w:t>&amp;</w:t>
      </w:r>
      <w:r w:rsidRPr="005C6D34">
        <w:rPr>
          <w:rFonts w:eastAsia="Georgia" w:cstheme="minorHAnsi"/>
          <w:sz w:val="24"/>
          <w:szCs w:val="24"/>
        </w:rPr>
        <w:t xml:space="preserve"> Osun gubernatorial elections.</w:t>
      </w:r>
      <w:r w:rsidR="000A687F" w:rsidRPr="005C6D34">
        <w:rPr>
          <w:rFonts w:cstheme="minorHAnsi"/>
          <w:sz w:val="24"/>
          <w:szCs w:val="24"/>
        </w:rPr>
        <w:t xml:space="preserve"> </w:t>
      </w:r>
      <w:r w:rsidRPr="005C6D34">
        <w:rPr>
          <w:rFonts w:eastAsia="Georgia" w:cstheme="minorHAnsi"/>
          <w:sz w:val="24"/>
          <w:szCs w:val="24"/>
        </w:rPr>
        <w:t xml:space="preserve">From the evidence </w:t>
      </w:r>
      <w:r w:rsidR="00BE360E" w:rsidRPr="005C6D34">
        <w:rPr>
          <w:rFonts w:eastAsia="Georgia" w:cstheme="minorHAnsi"/>
          <w:sz w:val="24"/>
          <w:szCs w:val="24"/>
        </w:rPr>
        <w:t>from</w:t>
      </w:r>
      <w:r w:rsidRPr="005C6D34">
        <w:rPr>
          <w:rFonts w:eastAsia="Georgia" w:cstheme="minorHAnsi"/>
          <w:sz w:val="24"/>
          <w:szCs w:val="24"/>
        </w:rPr>
        <w:t xml:space="preserve"> the Anambra, Ekiti </w:t>
      </w:r>
      <w:r w:rsidR="00087427" w:rsidRPr="005C6D34">
        <w:rPr>
          <w:rFonts w:eastAsia="Georgia" w:cstheme="minorHAnsi"/>
          <w:sz w:val="24"/>
          <w:szCs w:val="24"/>
        </w:rPr>
        <w:t>&amp;</w:t>
      </w:r>
      <w:r w:rsidRPr="005C6D34">
        <w:rPr>
          <w:rFonts w:eastAsia="Georgia" w:cstheme="minorHAnsi"/>
          <w:sz w:val="24"/>
          <w:szCs w:val="24"/>
        </w:rPr>
        <w:t xml:space="preserve"> Osun gubernatorial elections, </w:t>
      </w:r>
      <w:r w:rsidR="00BE360E" w:rsidRPr="005C6D34">
        <w:rPr>
          <w:rFonts w:eastAsia="Georgia" w:cstheme="minorHAnsi"/>
          <w:sz w:val="24"/>
          <w:szCs w:val="24"/>
        </w:rPr>
        <w:t>ethno</w:t>
      </w:r>
      <w:r w:rsidR="001E552A" w:rsidRPr="005C6D34">
        <w:rPr>
          <w:rFonts w:eastAsia="Georgia" w:cstheme="minorHAnsi"/>
          <w:sz w:val="24"/>
          <w:szCs w:val="24"/>
        </w:rPr>
        <w:t>-</w:t>
      </w:r>
      <w:r w:rsidR="00BE360E" w:rsidRPr="005C6D34">
        <w:rPr>
          <w:rFonts w:eastAsia="Georgia" w:cstheme="minorHAnsi"/>
          <w:sz w:val="24"/>
          <w:szCs w:val="24"/>
        </w:rPr>
        <w:t>religious</w:t>
      </w:r>
      <w:r w:rsidRPr="005C6D34">
        <w:rPr>
          <w:rFonts w:eastAsia="Georgia" w:cstheme="minorHAnsi"/>
          <w:sz w:val="24"/>
          <w:szCs w:val="24"/>
        </w:rPr>
        <w:t xml:space="preserve"> factors will still be visible in the 2023 elections.</w:t>
      </w:r>
    </w:p>
    <w:p w14:paraId="31523CB7" w14:textId="3AEFF985" w:rsidR="00DE6F8C" w:rsidRPr="005C6D34" w:rsidRDefault="00DE6F8C">
      <w:pPr>
        <w:rPr>
          <w:rFonts w:eastAsia="Georgia" w:cstheme="minorHAnsi"/>
          <w:sz w:val="24"/>
          <w:szCs w:val="24"/>
        </w:rPr>
      </w:pPr>
      <w:r w:rsidRPr="005C6D34">
        <w:rPr>
          <w:rFonts w:eastAsia="Georgia" w:cstheme="minorHAnsi"/>
          <w:sz w:val="24"/>
          <w:szCs w:val="24"/>
        </w:rPr>
        <w:br w:type="page"/>
      </w:r>
    </w:p>
    <w:p w14:paraId="09FC8F73" w14:textId="77777777" w:rsidR="00DE6F8C" w:rsidRPr="005C6D34" w:rsidRDefault="00DE6F8C" w:rsidP="00DE6F8C">
      <w:pPr>
        <w:spacing w:line="360" w:lineRule="auto"/>
        <w:rPr>
          <w:rFonts w:cstheme="minorHAnsi"/>
          <w:b/>
          <w:bCs/>
          <w:sz w:val="24"/>
          <w:szCs w:val="24"/>
        </w:rPr>
      </w:pPr>
      <w:r w:rsidRPr="005C6D34">
        <w:rPr>
          <w:rFonts w:cstheme="minorHAnsi"/>
          <w:b/>
          <w:bCs/>
          <w:sz w:val="24"/>
          <w:szCs w:val="24"/>
        </w:rPr>
        <w:lastRenderedPageBreak/>
        <w:t>References</w:t>
      </w:r>
    </w:p>
    <w:p w14:paraId="3917F416"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Adigun, O. W. (2020). The factors determining voter turnouts in presidential elections in Nigeria: multivariate correlation analysis of the 2019 presidential election. </w:t>
      </w:r>
      <w:r w:rsidRPr="005C6D34">
        <w:rPr>
          <w:rFonts w:eastAsia="Georgia" w:cstheme="minorHAnsi"/>
          <w:i/>
          <w:iCs/>
          <w:sz w:val="24"/>
          <w:szCs w:val="24"/>
        </w:rPr>
        <w:t>Open Political Science</w:t>
      </w:r>
      <w:r w:rsidRPr="005C6D34">
        <w:rPr>
          <w:rFonts w:eastAsia="Georgia" w:cstheme="minorHAnsi"/>
          <w:sz w:val="24"/>
          <w:szCs w:val="24"/>
        </w:rPr>
        <w:t xml:space="preserve">, 3(1), 11-33. </w:t>
      </w:r>
      <w:hyperlink r:id="rId15">
        <w:r w:rsidRPr="005C6D34">
          <w:rPr>
            <w:rStyle w:val="Hyperlink"/>
            <w:rFonts w:eastAsia="Georgia" w:cstheme="minorHAnsi"/>
            <w:sz w:val="24"/>
            <w:szCs w:val="24"/>
          </w:rPr>
          <w:t>https://doi.org/10.1515/openps-2020-0002</w:t>
        </w:r>
      </w:hyperlink>
      <w:r w:rsidRPr="005C6D34">
        <w:rPr>
          <w:rFonts w:eastAsia="Georgia" w:cstheme="minorHAnsi"/>
          <w:sz w:val="24"/>
          <w:szCs w:val="24"/>
        </w:rPr>
        <w:t xml:space="preserve"> </w:t>
      </w:r>
    </w:p>
    <w:p w14:paraId="66FBCA81" w14:textId="5ED6E6BB" w:rsidR="00DE6F8C" w:rsidRPr="005C6D34" w:rsidRDefault="00DE6F8C" w:rsidP="004453A9">
      <w:pPr>
        <w:spacing w:before="240" w:after="0" w:line="240" w:lineRule="auto"/>
        <w:ind w:left="720" w:hanging="720"/>
        <w:rPr>
          <w:rFonts w:cstheme="minorHAnsi"/>
          <w:sz w:val="24"/>
          <w:szCs w:val="24"/>
        </w:rPr>
      </w:pPr>
      <w:proofErr w:type="spellStart"/>
      <w:r w:rsidRPr="005C6D34">
        <w:rPr>
          <w:rFonts w:eastAsia="Georgia" w:cstheme="minorHAnsi"/>
          <w:sz w:val="24"/>
          <w:szCs w:val="24"/>
        </w:rPr>
        <w:t>Agbu</w:t>
      </w:r>
      <w:proofErr w:type="spellEnd"/>
      <w:r w:rsidRPr="005C6D34">
        <w:rPr>
          <w:rFonts w:eastAsia="Georgia" w:cstheme="minorHAnsi"/>
          <w:sz w:val="24"/>
          <w:szCs w:val="24"/>
        </w:rPr>
        <w:t>, O (2016) Election rigging and the use of technology: The Smart Card Reader as the joker in Nigeria</w:t>
      </w:r>
      <w:r w:rsidR="00A03141" w:rsidRPr="005C6D34">
        <w:rPr>
          <w:rFonts w:eastAsia="Georgia" w:cstheme="minorHAnsi"/>
          <w:sz w:val="24"/>
          <w:szCs w:val="24"/>
        </w:rPr>
        <w:t>’</w:t>
      </w:r>
      <w:r w:rsidRPr="005C6D34">
        <w:rPr>
          <w:rFonts w:eastAsia="Georgia" w:cstheme="minorHAnsi"/>
          <w:sz w:val="24"/>
          <w:szCs w:val="24"/>
        </w:rPr>
        <w:t xml:space="preserve">s 2015 presidential election </w:t>
      </w:r>
      <w:r w:rsidRPr="005C6D34">
        <w:rPr>
          <w:rFonts w:eastAsia="Georgia" w:cstheme="minorHAnsi"/>
          <w:i/>
          <w:iCs/>
          <w:sz w:val="24"/>
          <w:szCs w:val="24"/>
        </w:rPr>
        <w:t xml:space="preserve">Journal of African Elections. </w:t>
      </w:r>
      <w:r w:rsidRPr="005C6D34">
        <w:rPr>
          <w:rFonts w:eastAsia="Georgia" w:cstheme="minorHAnsi"/>
          <w:sz w:val="24"/>
          <w:szCs w:val="24"/>
        </w:rPr>
        <w:t>15(2):</w:t>
      </w:r>
      <w:r w:rsidRPr="005C6D34">
        <w:rPr>
          <w:rFonts w:eastAsia="Georgia" w:cstheme="minorHAnsi"/>
          <w:i/>
          <w:iCs/>
          <w:sz w:val="24"/>
          <w:szCs w:val="24"/>
        </w:rPr>
        <w:t xml:space="preserve"> </w:t>
      </w:r>
      <w:r w:rsidRPr="005C6D34">
        <w:rPr>
          <w:rFonts w:eastAsia="Georgia" w:cstheme="minorHAnsi"/>
          <w:sz w:val="24"/>
          <w:szCs w:val="24"/>
        </w:rPr>
        <w:t>90-111</w:t>
      </w:r>
      <w:r w:rsidRPr="005C6D34">
        <w:rPr>
          <w:rFonts w:eastAsia="Georgia" w:cstheme="minorHAnsi"/>
          <w:i/>
          <w:iCs/>
          <w:sz w:val="24"/>
          <w:szCs w:val="24"/>
        </w:rPr>
        <w:t xml:space="preserve"> </w:t>
      </w:r>
      <w:r w:rsidRPr="005C6D34">
        <w:rPr>
          <w:rFonts w:eastAsia="Georgia" w:cstheme="minorHAnsi"/>
          <w:sz w:val="24"/>
          <w:szCs w:val="24"/>
        </w:rPr>
        <w:t xml:space="preserve">DOI: 10.20940/JAE/2016/v15i2a5  </w:t>
      </w:r>
    </w:p>
    <w:p w14:paraId="08918CF8" w14:textId="0EDE346A" w:rsidR="00460570" w:rsidRPr="005C6D34" w:rsidRDefault="00460570" w:rsidP="00460570">
      <w:pPr>
        <w:spacing w:before="240" w:after="0" w:line="240" w:lineRule="auto"/>
        <w:ind w:left="720" w:hanging="720"/>
        <w:rPr>
          <w:rFonts w:eastAsia="Georgia" w:cstheme="minorHAnsi"/>
          <w:sz w:val="24"/>
          <w:szCs w:val="24"/>
        </w:rPr>
      </w:pPr>
      <w:proofErr w:type="spellStart"/>
      <w:r w:rsidRPr="005C6D34">
        <w:rPr>
          <w:rFonts w:eastAsia="Georgia" w:cstheme="minorHAnsi"/>
          <w:sz w:val="24"/>
          <w:szCs w:val="24"/>
        </w:rPr>
        <w:t>Alkire</w:t>
      </w:r>
      <w:proofErr w:type="spellEnd"/>
      <w:r w:rsidRPr="005C6D34">
        <w:rPr>
          <w:rFonts w:eastAsia="Georgia" w:cstheme="minorHAnsi"/>
          <w:sz w:val="24"/>
          <w:szCs w:val="24"/>
        </w:rPr>
        <w:t xml:space="preserve">, S., Kanagaratnam, U., Nogales, R. and </w:t>
      </w:r>
      <w:proofErr w:type="spellStart"/>
      <w:r w:rsidRPr="005C6D34">
        <w:rPr>
          <w:rFonts w:eastAsia="Georgia" w:cstheme="minorHAnsi"/>
          <w:sz w:val="24"/>
          <w:szCs w:val="24"/>
        </w:rPr>
        <w:t>Suppa</w:t>
      </w:r>
      <w:proofErr w:type="spellEnd"/>
      <w:r w:rsidRPr="005C6D34">
        <w:rPr>
          <w:rFonts w:eastAsia="Georgia" w:cstheme="minorHAnsi"/>
          <w:sz w:val="24"/>
          <w:szCs w:val="24"/>
        </w:rPr>
        <w:t xml:space="preserve">, N. (2022) ‘Revising the global multidimensional poverty index: Empirical insights and robustness’, </w:t>
      </w:r>
      <w:proofErr w:type="spellStart"/>
      <w:r w:rsidRPr="005C6D34">
        <w:rPr>
          <w:rFonts w:eastAsia="Georgia" w:cstheme="minorHAnsi"/>
          <w:sz w:val="24"/>
          <w:szCs w:val="24"/>
        </w:rPr>
        <w:t>doi:https</w:t>
      </w:r>
      <w:proofErr w:type="spellEnd"/>
      <w:r w:rsidRPr="005C6D34">
        <w:rPr>
          <w:rFonts w:eastAsia="Georgia" w:cstheme="minorHAnsi"/>
          <w:sz w:val="24"/>
          <w:szCs w:val="24"/>
        </w:rPr>
        <w:t>://doi.org/10.1111/roiw.12573, forthcoming.</w:t>
      </w:r>
    </w:p>
    <w:p w14:paraId="6494A0E3" w14:textId="673F75A8" w:rsidR="00DE6F8C" w:rsidRPr="005C6D34" w:rsidRDefault="00DE6F8C" w:rsidP="004453A9">
      <w:pPr>
        <w:spacing w:before="240" w:after="0" w:line="240" w:lineRule="auto"/>
        <w:ind w:left="720" w:hanging="720"/>
        <w:rPr>
          <w:rFonts w:cstheme="minorHAnsi"/>
          <w:sz w:val="24"/>
          <w:szCs w:val="24"/>
        </w:rPr>
      </w:pPr>
      <w:proofErr w:type="spellStart"/>
      <w:r w:rsidRPr="005C6D34">
        <w:rPr>
          <w:rFonts w:eastAsia="Georgia" w:cstheme="minorHAnsi"/>
          <w:sz w:val="24"/>
          <w:szCs w:val="24"/>
        </w:rPr>
        <w:t>Azzollini</w:t>
      </w:r>
      <w:proofErr w:type="spellEnd"/>
      <w:r w:rsidRPr="005C6D34">
        <w:rPr>
          <w:rFonts w:eastAsia="Georgia" w:cstheme="minorHAnsi"/>
          <w:sz w:val="24"/>
          <w:szCs w:val="24"/>
        </w:rPr>
        <w:t xml:space="preserve">, L. (2021) The scar effects of unemployment on electoral participation: withdrawal and mobilisation across European societies </w:t>
      </w:r>
      <w:r w:rsidRPr="005C6D34">
        <w:rPr>
          <w:rFonts w:eastAsia="Georgia" w:cstheme="minorHAnsi"/>
          <w:i/>
          <w:iCs/>
          <w:sz w:val="24"/>
          <w:szCs w:val="24"/>
        </w:rPr>
        <w:t>European Sociological Review</w:t>
      </w:r>
      <w:r w:rsidRPr="005C6D34">
        <w:rPr>
          <w:rFonts w:eastAsia="Georgia" w:cstheme="minorHAnsi"/>
          <w:sz w:val="24"/>
          <w:szCs w:val="24"/>
        </w:rPr>
        <w:t xml:space="preserve"> 37(6): 1007–1026 </w:t>
      </w:r>
      <w:proofErr w:type="spellStart"/>
      <w:r w:rsidRPr="005C6D34">
        <w:rPr>
          <w:rFonts w:eastAsia="Georgia" w:cstheme="minorHAnsi"/>
          <w:sz w:val="24"/>
          <w:szCs w:val="24"/>
        </w:rPr>
        <w:t>doi</w:t>
      </w:r>
      <w:proofErr w:type="spellEnd"/>
      <w:r w:rsidRPr="005C6D34">
        <w:rPr>
          <w:rFonts w:eastAsia="Georgia" w:cstheme="minorHAnsi"/>
          <w:sz w:val="24"/>
          <w:szCs w:val="24"/>
        </w:rPr>
        <w:t>: 10.1093/</w:t>
      </w:r>
      <w:proofErr w:type="spellStart"/>
      <w:r w:rsidRPr="005C6D34">
        <w:rPr>
          <w:rFonts w:eastAsia="Georgia" w:cstheme="minorHAnsi"/>
          <w:sz w:val="24"/>
          <w:szCs w:val="24"/>
        </w:rPr>
        <w:t>esr</w:t>
      </w:r>
      <w:proofErr w:type="spellEnd"/>
      <w:r w:rsidRPr="005C6D34">
        <w:rPr>
          <w:rFonts w:eastAsia="Georgia" w:cstheme="minorHAnsi"/>
          <w:sz w:val="24"/>
          <w:szCs w:val="24"/>
        </w:rPr>
        <w:t>/jcab016</w:t>
      </w:r>
    </w:p>
    <w:p w14:paraId="34ECFF21"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Baumgartner, J. C., &amp; Morris, J. S. (2010). </w:t>
      </w:r>
      <w:proofErr w:type="spellStart"/>
      <w:r w:rsidRPr="005C6D34">
        <w:rPr>
          <w:rFonts w:eastAsia="Georgia" w:cstheme="minorHAnsi"/>
          <w:sz w:val="24"/>
          <w:szCs w:val="24"/>
        </w:rPr>
        <w:t>MyFaceTube</w:t>
      </w:r>
      <w:proofErr w:type="spellEnd"/>
      <w:r w:rsidRPr="005C6D34">
        <w:rPr>
          <w:rFonts w:eastAsia="Georgia" w:cstheme="minorHAnsi"/>
          <w:sz w:val="24"/>
          <w:szCs w:val="24"/>
        </w:rPr>
        <w:t xml:space="preserve"> politics: Social networking websites and political engagement of young adults. </w:t>
      </w:r>
      <w:r w:rsidRPr="005C6D34">
        <w:rPr>
          <w:rFonts w:eastAsia="Georgia" w:cstheme="minorHAnsi"/>
          <w:i/>
          <w:iCs/>
          <w:sz w:val="24"/>
          <w:szCs w:val="24"/>
        </w:rPr>
        <w:t>Social Science Computer Review</w:t>
      </w:r>
      <w:r w:rsidRPr="005C6D34">
        <w:rPr>
          <w:rFonts w:eastAsia="Georgia" w:cstheme="minorHAnsi"/>
          <w:sz w:val="24"/>
          <w:szCs w:val="24"/>
        </w:rPr>
        <w:t>, 28, 24–44.</w:t>
      </w:r>
    </w:p>
    <w:p w14:paraId="03046697"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Breuer, A. (2012) </w:t>
      </w:r>
      <w:r w:rsidRPr="005C6D34">
        <w:rPr>
          <w:rFonts w:eastAsia="Georgia" w:cstheme="minorHAnsi"/>
          <w:i/>
          <w:iCs/>
          <w:sz w:val="24"/>
          <w:szCs w:val="24"/>
        </w:rPr>
        <w:t>The role of social media in mobilising political protest: evidence from the Tunisian revolution</w:t>
      </w:r>
      <w:r w:rsidRPr="005C6D34">
        <w:rPr>
          <w:rFonts w:eastAsia="Georgia" w:cstheme="minorHAnsi"/>
          <w:sz w:val="24"/>
          <w:szCs w:val="24"/>
        </w:rPr>
        <w:t xml:space="preserve"> Discussion Paper Bonn: German Development Institute</w:t>
      </w:r>
    </w:p>
    <w:p w14:paraId="5AE05AE9"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Burden, B. C and </w:t>
      </w:r>
      <w:proofErr w:type="spellStart"/>
      <w:r w:rsidRPr="005C6D34">
        <w:rPr>
          <w:rFonts w:eastAsia="Georgia" w:cstheme="minorHAnsi"/>
          <w:sz w:val="24"/>
          <w:szCs w:val="24"/>
        </w:rPr>
        <w:t>Wichowsky</w:t>
      </w:r>
      <w:proofErr w:type="spellEnd"/>
      <w:r w:rsidRPr="005C6D34">
        <w:rPr>
          <w:rFonts w:eastAsia="Georgia" w:cstheme="minorHAnsi"/>
          <w:sz w:val="24"/>
          <w:szCs w:val="24"/>
        </w:rPr>
        <w:t xml:space="preserve">, A. (2014) Economic discontent as a mobiliser: unemployment and voter turnout </w:t>
      </w:r>
      <w:r w:rsidRPr="005C6D34">
        <w:rPr>
          <w:rFonts w:eastAsia="Georgia" w:cstheme="minorHAnsi"/>
          <w:i/>
          <w:iCs/>
          <w:sz w:val="24"/>
          <w:szCs w:val="24"/>
        </w:rPr>
        <w:t>The Journal of Politics</w:t>
      </w:r>
      <w:r w:rsidRPr="005C6D34">
        <w:rPr>
          <w:rFonts w:eastAsia="Georgia" w:cstheme="minorHAnsi"/>
          <w:sz w:val="24"/>
          <w:szCs w:val="24"/>
        </w:rPr>
        <w:t xml:space="preserve"> 76(4): 887-898</w:t>
      </w:r>
    </w:p>
    <w:p w14:paraId="0686C15D" w14:textId="0FE33B32" w:rsidR="002410D1" w:rsidRPr="005C6D34" w:rsidRDefault="004C221C" w:rsidP="004453A9">
      <w:pPr>
        <w:spacing w:before="240" w:after="0" w:line="240" w:lineRule="auto"/>
        <w:ind w:left="720" w:hanging="720"/>
        <w:rPr>
          <w:rFonts w:eastAsia="Georgia" w:cstheme="minorHAnsi"/>
          <w:sz w:val="24"/>
          <w:szCs w:val="24"/>
        </w:rPr>
      </w:pPr>
      <w:r w:rsidRPr="005C6D34">
        <w:rPr>
          <w:rFonts w:eastAsia="Georgia" w:cstheme="minorHAnsi"/>
          <w:sz w:val="24"/>
          <w:szCs w:val="24"/>
        </w:rPr>
        <w:t xml:space="preserve">Brandon K. Burr, J. Brooke </w:t>
      </w:r>
      <w:proofErr w:type="spellStart"/>
      <w:r w:rsidRPr="005C6D34">
        <w:rPr>
          <w:rFonts w:eastAsia="Georgia" w:cstheme="minorHAnsi"/>
          <w:sz w:val="24"/>
          <w:szCs w:val="24"/>
        </w:rPr>
        <w:t>Kuns</w:t>
      </w:r>
      <w:proofErr w:type="spellEnd"/>
      <w:r w:rsidRPr="005C6D34">
        <w:rPr>
          <w:rFonts w:eastAsia="Georgia" w:cstheme="minorHAnsi"/>
          <w:sz w:val="24"/>
          <w:szCs w:val="24"/>
        </w:rPr>
        <w:t xml:space="preserve">, LaDonna Atkins, Anita Glee Bertram &amp; Kaye Sears (2015) Generation to Generation: Passing on Religious and Spiritual Beliefs and Practices, </w:t>
      </w:r>
      <w:r w:rsidRPr="005C6D34">
        <w:rPr>
          <w:rFonts w:eastAsia="Georgia" w:cstheme="minorHAnsi"/>
          <w:i/>
          <w:iCs/>
          <w:sz w:val="24"/>
          <w:szCs w:val="24"/>
        </w:rPr>
        <w:t>Journal of Religion, Spirituality &amp; Aging</w:t>
      </w:r>
      <w:r w:rsidRPr="005C6D34">
        <w:rPr>
          <w:rFonts w:eastAsia="Georgia" w:cstheme="minorHAnsi"/>
          <w:sz w:val="24"/>
          <w:szCs w:val="24"/>
        </w:rPr>
        <w:t>, 27:2-3, 183-200, DOI: 10.1080/15528030.2015.1007544</w:t>
      </w:r>
      <w:r w:rsidR="00F81B86" w:rsidRPr="005C6D34">
        <w:rPr>
          <w:rFonts w:eastAsia="Georgia" w:cstheme="minorHAnsi"/>
          <w:sz w:val="24"/>
          <w:szCs w:val="24"/>
        </w:rPr>
        <w:t xml:space="preserve"> </w:t>
      </w:r>
    </w:p>
    <w:p w14:paraId="39CAA671" w14:textId="5AEE6432" w:rsidR="00DE6F8C" w:rsidRPr="005C6D34" w:rsidRDefault="00DE6F8C" w:rsidP="004453A9">
      <w:pPr>
        <w:spacing w:before="240" w:after="0" w:line="240" w:lineRule="auto"/>
        <w:ind w:left="720" w:hanging="720"/>
        <w:rPr>
          <w:rFonts w:eastAsia="Georgia" w:cstheme="minorHAnsi"/>
          <w:sz w:val="24"/>
          <w:szCs w:val="24"/>
        </w:rPr>
      </w:pPr>
      <w:r w:rsidRPr="005C6D34">
        <w:rPr>
          <w:rFonts w:eastAsia="Georgia" w:cstheme="minorHAnsi"/>
          <w:sz w:val="24"/>
          <w:szCs w:val="24"/>
        </w:rPr>
        <w:t xml:space="preserve">Collier, P &amp; Vicente, P. C. (2012) Violence, bribery, and fraud: the political economy of elections in sub-Saharan Africa </w:t>
      </w:r>
      <w:r w:rsidRPr="005C6D34">
        <w:rPr>
          <w:rFonts w:eastAsia="Georgia" w:cstheme="minorHAnsi"/>
          <w:i/>
          <w:iCs/>
          <w:sz w:val="24"/>
          <w:szCs w:val="24"/>
        </w:rPr>
        <w:t>Public Choice</w:t>
      </w:r>
      <w:r w:rsidRPr="005C6D34">
        <w:rPr>
          <w:rFonts w:eastAsia="Georgia" w:cstheme="minorHAnsi"/>
          <w:sz w:val="24"/>
          <w:szCs w:val="24"/>
        </w:rPr>
        <w:t>. 153(1): 117-147</w:t>
      </w:r>
    </w:p>
    <w:p w14:paraId="2E60038F"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Collier, P. (2009) </w:t>
      </w:r>
      <w:r w:rsidRPr="005C6D34">
        <w:rPr>
          <w:rFonts w:eastAsia="Georgia" w:cstheme="minorHAnsi"/>
          <w:i/>
          <w:iCs/>
          <w:sz w:val="24"/>
          <w:szCs w:val="24"/>
        </w:rPr>
        <w:t>Wars, guns and votes: democracy in dangerous places</w:t>
      </w:r>
      <w:r w:rsidRPr="005C6D34">
        <w:rPr>
          <w:rFonts w:eastAsia="Georgia" w:cstheme="minorHAnsi"/>
          <w:sz w:val="24"/>
          <w:szCs w:val="24"/>
        </w:rPr>
        <w:t xml:space="preserve"> New York: HarperCollins.</w:t>
      </w:r>
    </w:p>
    <w:p w14:paraId="34755BDE"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Collier, P. and Vicente, P. (2014) Votes and violence: Evidence from a field experiment in Nigeria. </w:t>
      </w:r>
      <w:r w:rsidRPr="005C6D34">
        <w:rPr>
          <w:rFonts w:eastAsia="Georgia" w:cstheme="minorHAnsi"/>
          <w:i/>
          <w:iCs/>
          <w:sz w:val="24"/>
          <w:szCs w:val="24"/>
        </w:rPr>
        <w:t>The Economic Journal</w:t>
      </w:r>
      <w:r w:rsidRPr="005C6D34">
        <w:rPr>
          <w:rFonts w:eastAsia="Georgia" w:cstheme="minorHAnsi"/>
          <w:sz w:val="24"/>
          <w:szCs w:val="24"/>
        </w:rPr>
        <w:t xml:space="preserve"> 124(574): F327-F355.</w:t>
      </w:r>
    </w:p>
    <w:p w14:paraId="1552221A" w14:textId="77777777" w:rsidR="00DE6F8C" w:rsidRPr="005C6D34" w:rsidRDefault="00DE6F8C" w:rsidP="004453A9">
      <w:pPr>
        <w:spacing w:before="240" w:after="0" w:line="240" w:lineRule="auto"/>
        <w:ind w:left="720" w:hanging="720"/>
        <w:rPr>
          <w:rFonts w:cstheme="minorHAnsi"/>
          <w:sz w:val="24"/>
          <w:szCs w:val="24"/>
        </w:rPr>
      </w:pPr>
      <w:r w:rsidRPr="005C6D34">
        <w:rPr>
          <w:rFonts w:cstheme="minorHAnsi"/>
          <w:sz w:val="24"/>
          <w:szCs w:val="24"/>
        </w:rPr>
        <w:t xml:space="preserve">Costello, A. B., &amp; Osborne, J. W. (2005) Best practices in exploratory factor analysis: Four recommendations for getting the most from your analysis. </w:t>
      </w:r>
      <w:r w:rsidRPr="005C6D34">
        <w:rPr>
          <w:rFonts w:cstheme="minorHAnsi"/>
          <w:i/>
          <w:iCs/>
          <w:sz w:val="24"/>
          <w:szCs w:val="24"/>
        </w:rPr>
        <w:t>Practical Assessment, Research &amp; Evaluation</w:t>
      </w:r>
      <w:r w:rsidRPr="005C6D34">
        <w:rPr>
          <w:rFonts w:cstheme="minorHAnsi"/>
          <w:sz w:val="24"/>
          <w:szCs w:val="24"/>
        </w:rPr>
        <w:t>, 10(7): 1-9.</w:t>
      </w:r>
    </w:p>
    <w:p w14:paraId="59092838"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lastRenderedPageBreak/>
        <w:t xml:space="preserve">Dawson, Stephen (2020) Electoral fraud and the paradox of political competition, Journal of Elections, </w:t>
      </w:r>
      <w:r w:rsidRPr="005C6D34">
        <w:rPr>
          <w:rFonts w:eastAsia="Georgia" w:cstheme="minorHAnsi"/>
          <w:i/>
          <w:iCs/>
          <w:sz w:val="24"/>
          <w:szCs w:val="24"/>
        </w:rPr>
        <w:t>Public Opinion and Parties</w:t>
      </w:r>
      <w:r w:rsidRPr="005C6D34">
        <w:rPr>
          <w:rFonts w:eastAsia="Georgia" w:cstheme="minorHAnsi"/>
          <w:sz w:val="24"/>
          <w:szCs w:val="24"/>
        </w:rPr>
        <w:t xml:space="preserve">, DOI:10.1080/17457289.2020.1740716 </w:t>
      </w:r>
    </w:p>
    <w:p w14:paraId="4F58DCA9" w14:textId="5496D696" w:rsidR="00DE6F8C" w:rsidRPr="005C6D34" w:rsidRDefault="00DE6F8C" w:rsidP="004453A9">
      <w:pPr>
        <w:spacing w:before="240" w:after="0" w:line="240" w:lineRule="auto"/>
        <w:ind w:left="720" w:hanging="720"/>
        <w:rPr>
          <w:rStyle w:val="Hyperlink"/>
          <w:rFonts w:eastAsia="Georgia" w:cstheme="minorHAnsi"/>
          <w:sz w:val="24"/>
          <w:szCs w:val="24"/>
        </w:rPr>
      </w:pPr>
      <w:proofErr w:type="spellStart"/>
      <w:r w:rsidRPr="005C6D34">
        <w:rPr>
          <w:rFonts w:eastAsia="Georgia" w:cstheme="minorHAnsi"/>
          <w:sz w:val="24"/>
          <w:szCs w:val="24"/>
        </w:rPr>
        <w:t>Eleweke</w:t>
      </w:r>
      <w:proofErr w:type="spellEnd"/>
      <w:r w:rsidRPr="005C6D34">
        <w:rPr>
          <w:rFonts w:eastAsia="Georgia" w:cstheme="minorHAnsi"/>
          <w:sz w:val="24"/>
          <w:szCs w:val="24"/>
        </w:rPr>
        <w:t>, T</w:t>
      </w:r>
      <w:r w:rsidR="00712B1B" w:rsidRPr="005C6D34">
        <w:rPr>
          <w:rFonts w:eastAsia="Georgia" w:cstheme="minorHAnsi"/>
          <w:sz w:val="24"/>
          <w:szCs w:val="24"/>
        </w:rPr>
        <w:t>.</w:t>
      </w:r>
      <w:r w:rsidRPr="005C6D34">
        <w:rPr>
          <w:rFonts w:eastAsia="Georgia" w:cstheme="minorHAnsi"/>
          <w:sz w:val="24"/>
          <w:szCs w:val="24"/>
        </w:rPr>
        <w:t xml:space="preserve"> </w:t>
      </w:r>
      <w:r w:rsidR="008F2D4E" w:rsidRPr="005C6D34">
        <w:rPr>
          <w:rFonts w:eastAsia="Georgia" w:cstheme="minorHAnsi"/>
          <w:sz w:val="24"/>
          <w:szCs w:val="24"/>
        </w:rPr>
        <w:t>(2021)</w:t>
      </w:r>
      <w:r w:rsidR="00712B1B" w:rsidRPr="005C6D34">
        <w:rPr>
          <w:rFonts w:eastAsia="Georgia" w:cstheme="minorHAnsi"/>
          <w:sz w:val="24"/>
          <w:szCs w:val="24"/>
        </w:rPr>
        <w:t xml:space="preserve"> ‘</w:t>
      </w:r>
      <w:r w:rsidRPr="005C6D34">
        <w:rPr>
          <w:rFonts w:eastAsia="Georgia" w:cstheme="minorHAnsi"/>
          <w:sz w:val="24"/>
          <w:szCs w:val="24"/>
        </w:rPr>
        <w:t>Anambra poll: Ignore us at your peril, PFN warns political parties</w:t>
      </w:r>
      <w:r w:rsidR="004E2AAA" w:rsidRPr="005C6D34">
        <w:rPr>
          <w:rFonts w:eastAsia="Georgia" w:cstheme="minorHAnsi"/>
          <w:sz w:val="24"/>
          <w:szCs w:val="24"/>
        </w:rPr>
        <w:t>.</w:t>
      </w:r>
      <w:r w:rsidR="00712B1B" w:rsidRPr="005C6D34">
        <w:rPr>
          <w:rFonts w:eastAsia="Georgia" w:cstheme="minorHAnsi"/>
          <w:sz w:val="24"/>
          <w:szCs w:val="24"/>
        </w:rPr>
        <w:t>’</w:t>
      </w:r>
      <w:r w:rsidRPr="005C6D34">
        <w:rPr>
          <w:rFonts w:eastAsia="Georgia" w:cstheme="minorHAnsi"/>
          <w:sz w:val="24"/>
          <w:szCs w:val="24"/>
        </w:rPr>
        <w:t xml:space="preserve"> </w:t>
      </w:r>
      <w:r w:rsidRPr="005C6D34">
        <w:rPr>
          <w:rFonts w:eastAsia="Georgia" w:cstheme="minorHAnsi"/>
          <w:i/>
          <w:iCs/>
          <w:sz w:val="24"/>
          <w:szCs w:val="24"/>
        </w:rPr>
        <w:t>Daily Trust</w:t>
      </w:r>
      <w:r w:rsidR="00E15843" w:rsidRPr="005C6D34">
        <w:rPr>
          <w:rFonts w:eastAsia="Georgia" w:cstheme="minorHAnsi"/>
          <w:i/>
          <w:iCs/>
          <w:sz w:val="24"/>
          <w:szCs w:val="24"/>
        </w:rPr>
        <w:t>,</w:t>
      </w:r>
      <w:r w:rsidRPr="005C6D34">
        <w:rPr>
          <w:rFonts w:eastAsia="Georgia" w:cstheme="minorHAnsi"/>
          <w:sz w:val="24"/>
          <w:szCs w:val="24"/>
        </w:rPr>
        <w:t xml:space="preserve"> </w:t>
      </w:r>
      <w:r w:rsidR="00712B1B" w:rsidRPr="005C6D34">
        <w:rPr>
          <w:rFonts w:eastAsia="Georgia" w:cstheme="minorHAnsi"/>
          <w:sz w:val="24"/>
          <w:szCs w:val="24"/>
        </w:rPr>
        <w:t>17 August 2021</w:t>
      </w:r>
      <w:r w:rsidR="00E8407E" w:rsidRPr="005C6D34">
        <w:rPr>
          <w:rFonts w:eastAsia="Georgia" w:cstheme="minorHAnsi"/>
          <w:sz w:val="24"/>
          <w:szCs w:val="24"/>
        </w:rPr>
        <w:t>, Online:</w:t>
      </w:r>
      <w:r w:rsidR="00712B1B" w:rsidRPr="005C6D34">
        <w:rPr>
          <w:rFonts w:eastAsia="Georgia" w:cstheme="minorHAnsi"/>
          <w:sz w:val="24"/>
          <w:szCs w:val="24"/>
        </w:rPr>
        <w:t xml:space="preserve"> </w:t>
      </w:r>
      <w:hyperlink r:id="rId16">
        <w:r w:rsidRPr="005C6D34">
          <w:rPr>
            <w:rStyle w:val="Hyperlink"/>
            <w:rFonts w:eastAsia="Georgia" w:cstheme="minorHAnsi"/>
            <w:sz w:val="24"/>
            <w:szCs w:val="24"/>
          </w:rPr>
          <w:t>https://dailytrust.com/anambra-poll-ignore-us-at-your-peril-pfn-warns-political-parties</w:t>
        </w:r>
      </w:hyperlink>
    </w:p>
    <w:p w14:paraId="1F1623F3" w14:textId="45BC9309" w:rsidR="00DE6F8C" w:rsidRPr="005C6D34" w:rsidRDefault="00DE6F8C" w:rsidP="004453A9">
      <w:pPr>
        <w:spacing w:before="240" w:after="0" w:line="240" w:lineRule="auto"/>
        <w:ind w:left="720" w:hanging="720"/>
        <w:rPr>
          <w:rFonts w:cstheme="minorHAnsi"/>
          <w:sz w:val="24"/>
          <w:szCs w:val="24"/>
        </w:rPr>
      </w:pPr>
      <w:proofErr w:type="spellStart"/>
      <w:r w:rsidRPr="005C6D34">
        <w:rPr>
          <w:rFonts w:eastAsia="Georgia" w:cstheme="minorHAnsi"/>
          <w:sz w:val="24"/>
          <w:szCs w:val="24"/>
        </w:rPr>
        <w:t>Fayomi</w:t>
      </w:r>
      <w:proofErr w:type="spellEnd"/>
      <w:r w:rsidRPr="005C6D34">
        <w:rPr>
          <w:rFonts w:eastAsia="Georgia" w:cstheme="minorHAnsi"/>
          <w:sz w:val="24"/>
          <w:szCs w:val="24"/>
        </w:rPr>
        <w:t xml:space="preserve">, O.O., </w:t>
      </w:r>
      <w:proofErr w:type="spellStart"/>
      <w:r w:rsidRPr="005C6D34">
        <w:rPr>
          <w:rFonts w:eastAsia="Georgia" w:cstheme="minorHAnsi"/>
          <w:sz w:val="24"/>
          <w:szCs w:val="24"/>
        </w:rPr>
        <w:t>Salau</w:t>
      </w:r>
      <w:proofErr w:type="spellEnd"/>
      <w:r w:rsidRPr="005C6D34">
        <w:rPr>
          <w:rFonts w:eastAsia="Georgia" w:cstheme="minorHAnsi"/>
          <w:sz w:val="24"/>
          <w:szCs w:val="24"/>
        </w:rPr>
        <w:t xml:space="preserve">, O.P., Popoola, R.O., &amp; Adigun, OW (2020) Women in executive political leadership in Africa. In: </w:t>
      </w:r>
      <w:proofErr w:type="spellStart"/>
      <w:r w:rsidRPr="005C6D34">
        <w:rPr>
          <w:rFonts w:eastAsia="Georgia" w:cstheme="minorHAnsi"/>
          <w:sz w:val="24"/>
          <w:szCs w:val="24"/>
        </w:rPr>
        <w:t>Yacob-Haliso</w:t>
      </w:r>
      <w:proofErr w:type="spellEnd"/>
      <w:r w:rsidRPr="005C6D34">
        <w:rPr>
          <w:rFonts w:eastAsia="Georgia" w:cstheme="minorHAnsi"/>
          <w:sz w:val="24"/>
          <w:szCs w:val="24"/>
        </w:rPr>
        <w:t xml:space="preserve"> O., &amp; </w:t>
      </w:r>
      <w:proofErr w:type="spellStart"/>
      <w:r w:rsidRPr="005C6D34">
        <w:rPr>
          <w:rFonts w:eastAsia="Georgia" w:cstheme="minorHAnsi"/>
          <w:sz w:val="24"/>
          <w:szCs w:val="24"/>
        </w:rPr>
        <w:t>Falola</w:t>
      </w:r>
      <w:proofErr w:type="spellEnd"/>
      <w:r w:rsidRPr="005C6D34">
        <w:rPr>
          <w:rFonts w:eastAsia="Georgia" w:cstheme="minorHAnsi"/>
          <w:sz w:val="24"/>
          <w:szCs w:val="24"/>
        </w:rPr>
        <w:t xml:space="preserve"> T. (eds) </w:t>
      </w:r>
      <w:r w:rsidRPr="005C6D34">
        <w:rPr>
          <w:rFonts w:eastAsia="Georgia" w:cstheme="minorHAnsi"/>
          <w:i/>
          <w:iCs/>
          <w:sz w:val="24"/>
          <w:szCs w:val="24"/>
        </w:rPr>
        <w:t>The Palgrave Handbook of African Women</w:t>
      </w:r>
      <w:r w:rsidR="00A03141" w:rsidRPr="005C6D34">
        <w:rPr>
          <w:rFonts w:eastAsia="Georgia" w:cstheme="minorHAnsi"/>
          <w:i/>
          <w:iCs/>
          <w:sz w:val="24"/>
          <w:szCs w:val="24"/>
        </w:rPr>
        <w:t>’</w:t>
      </w:r>
      <w:r w:rsidRPr="005C6D34">
        <w:rPr>
          <w:rFonts w:eastAsia="Georgia" w:cstheme="minorHAnsi"/>
          <w:i/>
          <w:iCs/>
          <w:sz w:val="24"/>
          <w:szCs w:val="24"/>
        </w:rPr>
        <w:t>s Studies</w:t>
      </w:r>
      <w:r w:rsidRPr="005C6D34">
        <w:rPr>
          <w:rFonts w:eastAsia="Georgia" w:cstheme="minorHAnsi"/>
          <w:sz w:val="24"/>
          <w:szCs w:val="24"/>
        </w:rPr>
        <w:t xml:space="preserve">. Palgrave Macmillan, Cham. </w:t>
      </w:r>
      <w:hyperlink r:id="rId17">
        <w:r w:rsidRPr="005C6D34">
          <w:rPr>
            <w:rStyle w:val="Hyperlink"/>
            <w:rFonts w:eastAsia="Georgia" w:cstheme="minorHAnsi"/>
            <w:sz w:val="24"/>
            <w:szCs w:val="24"/>
          </w:rPr>
          <w:t>https://doi.org/10.1007/978-3-319-77030-7_74-1</w:t>
        </w:r>
      </w:hyperlink>
    </w:p>
    <w:p w14:paraId="2F6DF1FA"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Frank, R.W &amp; Martínez i Coma, F (2021) Correlates of Voter Turnout </w:t>
      </w:r>
      <w:r w:rsidRPr="005C6D34">
        <w:rPr>
          <w:rFonts w:eastAsia="Georgia" w:cstheme="minorHAnsi"/>
          <w:i/>
          <w:iCs/>
          <w:sz w:val="24"/>
          <w:szCs w:val="24"/>
        </w:rPr>
        <w:t xml:space="preserve">Political </w:t>
      </w:r>
      <w:proofErr w:type="spellStart"/>
      <w:r w:rsidRPr="005C6D34">
        <w:rPr>
          <w:rFonts w:eastAsia="Georgia" w:cstheme="minorHAnsi"/>
          <w:i/>
          <w:iCs/>
          <w:sz w:val="24"/>
          <w:szCs w:val="24"/>
        </w:rPr>
        <w:t>Behavior</w:t>
      </w:r>
      <w:proofErr w:type="spellEnd"/>
      <w:r w:rsidRPr="005C6D34">
        <w:rPr>
          <w:rFonts w:eastAsia="Georgia" w:cstheme="minorHAnsi"/>
          <w:sz w:val="24"/>
          <w:szCs w:val="24"/>
        </w:rPr>
        <w:t xml:space="preserve"> </w:t>
      </w:r>
      <w:hyperlink r:id="rId18">
        <w:r w:rsidRPr="005C6D34">
          <w:rPr>
            <w:rStyle w:val="Hyperlink"/>
            <w:rFonts w:eastAsia="Georgia" w:cstheme="minorHAnsi"/>
            <w:sz w:val="24"/>
            <w:szCs w:val="24"/>
          </w:rPr>
          <w:t>https://doi.org/10.1007/s11109-021-09720-y</w:t>
        </w:r>
      </w:hyperlink>
      <w:r w:rsidRPr="005C6D34">
        <w:rPr>
          <w:rFonts w:eastAsia="Georgia" w:cstheme="minorHAnsi"/>
          <w:sz w:val="24"/>
          <w:szCs w:val="24"/>
        </w:rPr>
        <w:t xml:space="preserve"> </w:t>
      </w:r>
    </w:p>
    <w:p w14:paraId="36923C0A" w14:textId="3B47B245" w:rsidR="00632587" w:rsidRPr="005C6D34" w:rsidRDefault="00632587" w:rsidP="00632587">
      <w:pPr>
        <w:spacing w:before="240" w:after="0" w:line="240" w:lineRule="auto"/>
        <w:ind w:left="720" w:hanging="720"/>
        <w:rPr>
          <w:rStyle w:val="Hyperlink"/>
          <w:rFonts w:cstheme="minorHAnsi"/>
          <w:sz w:val="24"/>
          <w:szCs w:val="24"/>
        </w:rPr>
      </w:pPr>
      <w:r w:rsidRPr="005C6D34">
        <w:rPr>
          <w:rFonts w:cstheme="minorHAnsi"/>
          <w:sz w:val="24"/>
          <w:szCs w:val="24"/>
        </w:rPr>
        <w:t>Fred, E. (2022) ‘CVR: Catholic church asked Priests to facilitate parishioners</w:t>
      </w:r>
      <w:r w:rsidR="004E2AAA" w:rsidRPr="005C6D34">
        <w:rPr>
          <w:rFonts w:cstheme="minorHAnsi"/>
          <w:sz w:val="24"/>
          <w:szCs w:val="24"/>
        </w:rPr>
        <w:t>.’</w:t>
      </w:r>
      <w:r w:rsidRPr="005C6D34">
        <w:rPr>
          <w:rFonts w:cstheme="minorHAnsi"/>
          <w:sz w:val="24"/>
          <w:szCs w:val="24"/>
        </w:rPr>
        <w:t xml:space="preserve"> </w:t>
      </w:r>
      <w:r w:rsidR="00E15843" w:rsidRPr="005C6D34">
        <w:rPr>
          <w:rFonts w:cstheme="minorHAnsi"/>
          <w:sz w:val="24"/>
          <w:szCs w:val="24"/>
        </w:rPr>
        <w:t>P</w:t>
      </w:r>
      <w:r w:rsidRPr="005C6D34">
        <w:rPr>
          <w:rFonts w:cstheme="minorHAnsi"/>
          <w:sz w:val="24"/>
          <w:szCs w:val="24"/>
        </w:rPr>
        <w:t>articipation</w:t>
      </w:r>
      <w:r w:rsidR="00E15843" w:rsidRPr="005C6D34">
        <w:rPr>
          <w:rFonts w:cstheme="minorHAnsi"/>
          <w:sz w:val="24"/>
          <w:szCs w:val="24"/>
        </w:rPr>
        <w:t>.</w:t>
      </w:r>
      <w:r w:rsidRPr="005C6D34">
        <w:rPr>
          <w:rFonts w:cstheme="minorHAnsi"/>
          <w:sz w:val="24"/>
          <w:szCs w:val="24"/>
        </w:rPr>
        <w:t xml:space="preserve">’ </w:t>
      </w:r>
      <w:r w:rsidRPr="005C6D34">
        <w:rPr>
          <w:rFonts w:cstheme="minorHAnsi"/>
          <w:i/>
          <w:sz w:val="24"/>
          <w:szCs w:val="24"/>
        </w:rPr>
        <w:t xml:space="preserve">Daily Sun, </w:t>
      </w:r>
      <w:r w:rsidRPr="005C6D34">
        <w:rPr>
          <w:rFonts w:cstheme="minorHAnsi"/>
          <w:iCs/>
          <w:sz w:val="24"/>
          <w:szCs w:val="24"/>
        </w:rPr>
        <w:t xml:space="preserve">21 </w:t>
      </w:r>
      <w:r w:rsidRPr="005C6D34">
        <w:rPr>
          <w:rFonts w:cstheme="minorHAnsi"/>
          <w:sz w:val="24"/>
          <w:szCs w:val="24"/>
        </w:rPr>
        <w:t xml:space="preserve">June 2022. Online. </w:t>
      </w:r>
      <w:hyperlink r:id="rId19" w:history="1">
        <w:r w:rsidRPr="005C6D34">
          <w:rPr>
            <w:rStyle w:val="Hyperlink"/>
            <w:rFonts w:cstheme="minorHAnsi"/>
            <w:sz w:val="24"/>
            <w:szCs w:val="24"/>
          </w:rPr>
          <w:t>https://www.sunnewsonline.com/cvr-catholic-church-asked-priests-to-facilitate-parishioners-participation/</w:t>
        </w:r>
      </w:hyperlink>
    </w:p>
    <w:p w14:paraId="27E8CF5A"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Hampton, K., Lee, C., &amp; Her, E. J. (2011). How new media affords network diversity: Direct and mediated access to social capital through participation in local social settings. </w:t>
      </w:r>
      <w:r w:rsidRPr="005C6D34">
        <w:rPr>
          <w:rFonts w:eastAsia="Georgia" w:cstheme="minorHAnsi"/>
          <w:i/>
          <w:iCs/>
          <w:sz w:val="24"/>
          <w:szCs w:val="24"/>
        </w:rPr>
        <w:t>New</w:t>
      </w:r>
      <w:r w:rsidRPr="005C6D34">
        <w:rPr>
          <w:rFonts w:eastAsia="Georgia" w:cstheme="minorHAnsi"/>
          <w:sz w:val="24"/>
          <w:szCs w:val="24"/>
        </w:rPr>
        <w:t xml:space="preserve"> </w:t>
      </w:r>
      <w:r w:rsidRPr="005C6D34">
        <w:rPr>
          <w:rFonts w:eastAsia="Georgia" w:cstheme="minorHAnsi"/>
          <w:i/>
          <w:iCs/>
          <w:sz w:val="24"/>
          <w:szCs w:val="24"/>
        </w:rPr>
        <w:t>Media &amp; Society</w:t>
      </w:r>
      <w:r w:rsidRPr="005C6D34">
        <w:rPr>
          <w:rFonts w:eastAsia="Georgia" w:cstheme="minorHAnsi"/>
          <w:sz w:val="24"/>
          <w:szCs w:val="24"/>
        </w:rPr>
        <w:t>, 13, 1031–1049.</w:t>
      </w:r>
    </w:p>
    <w:p w14:paraId="296766C5" w14:textId="33F7181A" w:rsidR="00DE6F8C" w:rsidRPr="005C6D34" w:rsidRDefault="00DE6F8C" w:rsidP="004453A9">
      <w:pPr>
        <w:spacing w:before="240" w:after="0" w:line="240" w:lineRule="auto"/>
        <w:ind w:left="720" w:hanging="720"/>
        <w:rPr>
          <w:rFonts w:cstheme="minorHAnsi"/>
          <w:sz w:val="24"/>
          <w:szCs w:val="24"/>
        </w:rPr>
      </w:pPr>
      <w:proofErr w:type="spellStart"/>
      <w:r w:rsidRPr="005C6D34">
        <w:rPr>
          <w:rFonts w:eastAsia="Georgia" w:cstheme="minorHAnsi"/>
          <w:sz w:val="24"/>
          <w:szCs w:val="24"/>
        </w:rPr>
        <w:t>Hargittai</w:t>
      </w:r>
      <w:proofErr w:type="spellEnd"/>
      <w:r w:rsidRPr="005C6D34">
        <w:rPr>
          <w:rFonts w:eastAsia="Georgia" w:cstheme="minorHAnsi"/>
          <w:sz w:val="24"/>
          <w:szCs w:val="24"/>
        </w:rPr>
        <w:t>, E. &amp; Shaw, A. (2013) Digitally savvy citizenship: The role of internet skills and engagement in young adults</w:t>
      </w:r>
      <w:r w:rsidR="00A03141" w:rsidRPr="005C6D34">
        <w:rPr>
          <w:rFonts w:eastAsia="Georgia" w:cstheme="minorHAnsi"/>
          <w:sz w:val="24"/>
          <w:szCs w:val="24"/>
        </w:rPr>
        <w:t>’</w:t>
      </w:r>
      <w:r w:rsidRPr="005C6D34">
        <w:rPr>
          <w:rFonts w:eastAsia="Georgia" w:cstheme="minorHAnsi"/>
          <w:sz w:val="24"/>
          <w:szCs w:val="24"/>
        </w:rPr>
        <w:t xml:space="preserve"> political participation around the 2008 presidential election. </w:t>
      </w:r>
      <w:r w:rsidRPr="005C6D34">
        <w:rPr>
          <w:rFonts w:eastAsia="Georgia" w:cstheme="minorHAnsi"/>
          <w:i/>
          <w:iCs/>
          <w:sz w:val="24"/>
          <w:szCs w:val="24"/>
        </w:rPr>
        <w:t>Journal of Broadcasting &amp; Electronic Media</w:t>
      </w:r>
      <w:r w:rsidRPr="005C6D34">
        <w:rPr>
          <w:rFonts w:eastAsia="Georgia" w:cstheme="minorHAnsi"/>
          <w:sz w:val="24"/>
          <w:szCs w:val="24"/>
        </w:rPr>
        <w:t xml:space="preserve">, 57(2): 115-134, DOI: 10.1080/08838151.2013.787079 </w:t>
      </w:r>
    </w:p>
    <w:p w14:paraId="7EDE5A72" w14:textId="77777777" w:rsidR="00DE6F8C" w:rsidRPr="005C6D34" w:rsidRDefault="00DE6F8C" w:rsidP="004453A9">
      <w:pPr>
        <w:spacing w:before="240" w:after="0" w:line="240" w:lineRule="auto"/>
        <w:ind w:left="720" w:hanging="720"/>
        <w:rPr>
          <w:rFonts w:eastAsia="Georgia" w:cstheme="minorHAnsi"/>
          <w:sz w:val="24"/>
          <w:szCs w:val="24"/>
        </w:rPr>
      </w:pPr>
      <w:proofErr w:type="spellStart"/>
      <w:r w:rsidRPr="005C6D34">
        <w:rPr>
          <w:rFonts w:eastAsia="Georgia" w:cstheme="minorHAnsi"/>
          <w:sz w:val="24"/>
          <w:szCs w:val="24"/>
        </w:rPr>
        <w:t>Herodowicz</w:t>
      </w:r>
      <w:proofErr w:type="spellEnd"/>
      <w:r w:rsidRPr="005C6D34">
        <w:rPr>
          <w:rFonts w:eastAsia="Georgia" w:cstheme="minorHAnsi"/>
          <w:sz w:val="24"/>
          <w:szCs w:val="24"/>
        </w:rPr>
        <w:t xml:space="preserve">, T., </w:t>
      </w:r>
      <w:proofErr w:type="spellStart"/>
      <w:r w:rsidRPr="005C6D34">
        <w:rPr>
          <w:rFonts w:eastAsia="Georgia" w:cstheme="minorHAnsi"/>
          <w:sz w:val="24"/>
          <w:szCs w:val="24"/>
        </w:rPr>
        <w:t>Konecka-Szydłowska</w:t>
      </w:r>
      <w:proofErr w:type="spellEnd"/>
      <w:r w:rsidRPr="005C6D34">
        <w:rPr>
          <w:rFonts w:eastAsia="Georgia" w:cstheme="minorHAnsi"/>
          <w:sz w:val="24"/>
          <w:szCs w:val="24"/>
        </w:rPr>
        <w:t xml:space="preserve">, B., </w:t>
      </w:r>
      <w:proofErr w:type="spellStart"/>
      <w:r w:rsidRPr="005C6D34">
        <w:rPr>
          <w:rFonts w:eastAsia="Georgia" w:cstheme="minorHAnsi"/>
          <w:sz w:val="24"/>
          <w:szCs w:val="24"/>
        </w:rPr>
        <w:t>Churski</w:t>
      </w:r>
      <w:proofErr w:type="spellEnd"/>
      <w:r w:rsidRPr="005C6D34">
        <w:rPr>
          <w:rFonts w:eastAsia="Georgia" w:cstheme="minorHAnsi"/>
          <w:sz w:val="24"/>
          <w:szCs w:val="24"/>
        </w:rPr>
        <w:t xml:space="preserve">, P., and </w:t>
      </w:r>
      <w:proofErr w:type="spellStart"/>
      <w:r w:rsidRPr="005C6D34">
        <w:rPr>
          <w:rFonts w:eastAsia="Georgia" w:cstheme="minorHAnsi"/>
          <w:sz w:val="24"/>
          <w:szCs w:val="24"/>
        </w:rPr>
        <w:t>Perdał</w:t>
      </w:r>
      <w:proofErr w:type="spellEnd"/>
      <w:r w:rsidRPr="005C6D34">
        <w:rPr>
          <w:rFonts w:eastAsia="Georgia" w:cstheme="minorHAnsi"/>
          <w:sz w:val="24"/>
          <w:szCs w:val="24"/>
        </w:rPr>
        <w:t xml:space="preserve">, R. (2021) Political divisions and socio-economic disparities in Poland: A geographical approach </w:t>
      </w:r>
      <w:r w:rsidRPr="005C6D34">
        <w:rPr>
          <w:rFonts w:eastAsia="Georgia" w:cstheme="minorHAnsi"/>
          <w:i/>
          <w:iCs/>
          <w:sz w:val="24"/>
          <w:szCs w:val="24"/>
        </w:rPr>
        <w:t>Sustainability</w:t>
      </w:r>
      <w:r w:rsidRPr="005C6D34">
        <w:rPr>
          <w:rFonts w:eastAsia="Georgia" w:cstheme="minorHAnsi"/>
          <w:sz w:val="24"/>
          <w:szCs w:val="24"/>
        </w:rPr>
        <w:t xml:space="preserve"> 13, 13604. DOI: </w:t>
      </w:r>
      <w:hyperlink r:id="rId20">
        <w:r w:rsidRPr="005C6D34">
          <w:rPr>
            <w:rStyle w:val="Hyperlink"/>
            <w:rFonts w:eastAsia="Georgia" w:cstheme="minorHAnsi"/>
            <w:sz w:val="24"/>
            <w:szCs w:val="24"/>
          </w:rPr>
          <w:t>https://doi.org/10.3390/su132413604</w:t>
        </w:r>
      </w:hyperlink>
      <w:r w:rsidRPr="005C6D34">
        <w:rPr>
          <w:rFonts w:eastAsia="Georgia" w:cstheme="minorHAnsi"/>
          <w:sz w:val="24"/>
          <w:szCs w:val="24"/>
        </w:rPr>
        <w:t xml:space="preserve"> </w:t>
      </w:r>
    </w:p>
    <w:p w14:paraId="3340C12C"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Independent National Electoral Commission (2020) </w:t>
      </w:r>
      <w:r w:rsidRPr="005C6D34">
        <w:rPr>
          <w:rFonts w:eastAsia="Georgia" w:cstheme="minorHAnsi"/>
          <w:i/>
          <w:iCs/>
          <w:sz w:val="24"/>
          <w:szCs w:val="24"/>
        </w:rPr>
        <w:t>Report of the 2019 General Election</w:t>
      </w:r>
      <w:r w:rsidRPr="005C6D34">
        <w:rPr>
          <w:rFonts w:eastAsia="Georgia" w:cstheme="minorHAnsi"/>
          <w:sz w:val="24"/>
          <w:szCs w:val="24"/>
        </w:rPr>
        <w:t xml:space="preserve"> Abuja: Independent National Electoral Commission</w:t>
      </w:r>
    </w:p>
    <w:p w14:paraId="563F9544" w14:textId="77777777" w:rsidR="00DE6F8C" w:rsidRPr="005C6D34" w:rsidRDefault="00DE6F8C" w:rsidP="004453A9">
      <w:pPr>
        <w:spacing w:before="240" w:after="0" w:line="240" w:lineRule="auto"/>
        <w:ind w:left="720" w:hanging="720"/>
        <w:rPr>
          <w:rFonts w:cstheme="minorHAnsi"/>
          <w:sz w:val="24"/>
          <w:szCs w:val="24"/>
        </w:rPr>
      </w:pPr>
      <w:r w:rsidRPr="005C6D34">
        <w:rPr>
          <w:rFonts w:cstheme="minorHAnsi"/>
          <w:sz w:val="24"/>
          <w:szCs w:val="24"/>
        </w:rPr>
        <w:t xml:space="preserve">Kaiser, H.F. and Rice, J. (1974). Little jiffy, mark IV. </w:t>
      </w:r>
      <w:r w:rsidRPr="005C6D34">
        <w:rPr>
          <w:rFonts w:cstheme="minorHAnsi"/>
          <w:i/>
          <w:iCs/>
          <w:sz w:val="24"/>
          <w:szCs w:val="24"/>
        </w:rPr>
        <w:t>Educational and Psychological Measurement</w:t>
      </w:r>
      <w:r w:rsidRPr="005C6D34">
        <w:rPr>
          <w:rFonts w:cstheme="minorHAnsi"/>
          <w:sz w:val="24"/>
          <w:szCs w:val="24"/>
        </w:rPr>
        <w:t>, 34: 111–117.</w:t>
      </w:r>
    </w:p>
    <w:p w14:paraId="604E3B33" w14:textId="0A1F2CC9" w:rsidR="00DE6F8C" w:rsidRPr="005C6D34" w:rsidRDefault="00DE6F8C" w:rsidP="004453A9">
      <w:pPr>
        <w:spacing w:before="240" w:after="0" w:line="240" w:lineRule="auto"/>
        <w:ind w:left="720" w:hanging="720"/>
        <w:rPr>
          <w:rFonts w:cstheme="minorHAnsi"/>
          <w:sz w:val="24"/>
          <w:szCs w:val="24"/>
        </w:rPr>
      </w:pPr>
      <w:proofErr w:type="spellStart"/>
      <w:r w:rsidRPr="005C6D34">
        <w:rPr>
          <w:rFonts w:eastAsia="Georgia" w:cstheme="minorHAnsi"/>
          <w:sz w:val="24"/>
          <w:szCs w:val="24"/>
        </w:rPr>
        <w:t>Kellow</w:t>
      </w:r>
      <w:proofErr w:type="spellEnd"/>
      <w:r w:rsidRPr="005C6D34">
        <w:rPr>
          <w:rFonts w:eastAsia="Georgia" w:cstheme="minorHAnsi"/>
          <w:sz w:val="24"/>
          <w:szCs w:val="24"/>
        </w:rPr>
        <w:t xml:space="preserve">, T. (2010). </w:t>
      </w:r>
      <w:r w:rsidRPr="005C6D34">
        <w:rPr>
          <w:rFonts w:eastAsia="Georgia" w:cstheme="minorHAnsi"/>
          <w:i/>
          <w:iCs/>
          <w:sz w:val="24"/>
          <w:szCs w:val="24"/>
        </w:rPr>
        <w:t>Women, elections and violence in West Africa: Assessing women</w:t>
      </w:r>
      <w:r w:rsidR="00A03141" w:rsidRPr="005C6D34">
        <w:rPr>
          <w:rFonts w:eastAsia="Georgia" w:cstheme="minorHAnsi"/>
          <w:i/>
          <w:iCs/>
          <w:sz w:val="24"/>
          <w:szCs w:val="24"/>
        </w:rPr>
        <w:t>’</w:t>
      </w:r>
      <w:r w:rsidRPr="005C6D34">
        <w:rPr>
          <w:rFonts w:eastAsia="Georgia" w:cstheme="minorHAnsi"/>
          <w:i/>
          <w:iCs/>
          <w:sz w:val="24"/>
          <w:szCs w:val="24"/>
        </w:rPr>
        <w:t>s political participation in Liberia and Sierra Leone</w:t>
      </w:r>
      <w:r w:rsidRPr="005C6D34">
        <w:rPr>
          <w:rFonts w:eastAsia="Georgia" w:cstheme="minorHAnsi"/>
          <w:sz w:val="24"/>
          <w:szCs w:val="24"/>
        </w:rPr>
        <w:t xml:space="preserve">. International Alert. Available Online </w:t>
      </w:r>
      <w:hyperlink r:id="rId21">
        <w:r w:rsidRPr="005C6D34">
          <w:rPr>
            <w:rStyle w:val="Hyperlink"/>
            <w:rFonts w:eastAsia="Georgia" w:cstheme="minorHAnsi"/>
            <w:sz w:val="24"/>
            <w:szCs w:val="24"/>
          </w:rPr>
          <w:t>https://www.humanitarianresponse.info/sites/www.humanitarianresponse.info/files/assessments/wome_elections_and_violence_in_west_africa.pdf</w:t>
        </w:r>
      </w:hyperlink>
    </w:p>
    <w:p w14:paraId="34420A24" w14:textId="1140776A" w:rsidR="00DE6F8C" w:rsidRPr="005C6D34" w:rsidRDefault="00DE6F8C" w:rsidP="004453A9">
      <w:pPr>
        <w:pStyle w:val="FootnoteText"/>
        <w:spacing w:before="240"/>
        <w:ind w:left="720" w:hanging="720"/>
        <w:rPr>
          <w:rFonts w:cstheme="minorHAnsi"/>
          <w:sz w:val="24"/>
          <w:szCs w:val="24"/>
        </w:rPr>
      </w:pPr>
      <w:r w:rsidRPr="005C6D34">
        <w:rPr>
          <w:rFonts w:eastAsia="Georgia" w:cstheme="minorHAnsi"/>
          <w:sz w:val="24"/>
          <w:szCs w:val="24"/>
        </w:rPr>
        <w:t>Kolawole, S</w:t>
      </w:r>
      <w:r w:rsidR="00E8407E" w:rsidRPr="005C6D34">
        <w:rPr>
          <w:rFonts w:eastAsia="Georgia" w:cstheme="minorHAnsi"/>
          <w:sz w:val="24"/>
          <w:szCs w:val="24"/>
        </w:rPr>
        <w:t>.</w:t>
      </w:r>
      <w:r w:rsidRPr="005C6D34">
        <w:rPr>
          <w:rFonts w:eastAsia="Georgia" w:cstheme="minorHAnsi"/>
          <w:sz w:val="24"/>
          <w:szCs w:val="24"/>
        </w:rPr>
        <w:t xml:space="preserve"> (2022</w:t>
      </w:r>
      <w:r w:rsidR="00E8407E" w:rsidRPr="005C6D34">
        <w:rPr>
          <w:rFonts w:eastAsia="Georgia" w:cstheme="minorHAnsi"/>
          <w:sz w:val="24"/>
          <w:szCs w:val="24"/>
        </w:rPr>
        <w:t>)</w:t>
      </w:r>
      <w:r w:rsidRPr="005C6D34">
        <w:rPr>
          <w:rFonts w:eastAsia="Georgia" w:cstheme="minorHAnsi"/>
          <w:sz w:val="24"/>
          <w:szCs w:val="24"/>
        </w:rPr>
        <w:t xml:space="preserve"> </w:t>
      </w:r>
      <w:r w:rsidR="00E8407E" w:rsidRPr="005C6D34">
        <w:rPr>
          <w:rFonts w:eastAsia="Georgia" w:cstheme="minorHAnsi"/>
          <w:sz w:val="24"/>
          <w:szCs w:val="24"/>
        </w:rPr>
        <w:t>‘</w:t>
      </w:r>
      <w:proofErr w:type="spellStart"/>
      <w:r w:rsidRPr="005C6D34">
        <w:rPr>
          <w:rFonts w:eastAsia="Georgia" w:cstheme="minorHAnsi"/>
          <w:sz w:val="24"/>
          <w:szCs w:val="24"/>
        </w:rPr>
        <w:t>Weaponising</w:t>
      </w:r>
      <w:proofErr w:type="spellEnd"/>
      <w:r w:rsidRPr="005C6D34">
        <w:rPr>
          <w:rFonts w:eastAsia="Georgia" w:cstheme="minorHAnsi"/>
          <w:sz w:val="24"/>
          <w:szCs w:val="24"/>
        </w:rPr>
        <w:t xml:space="preserve"> religion in Yoruba politics</w:t>
      </w:r>
      <w:r w:rsidR="004E2AAA" w:rsidRPr="005C6D34">
        <w:rPr>
          <w:rFonts w:eastAsia="Georgia" w:cstheme="minorHAnsi"/>
          <w:sz w:val="24"/>
          <w:szCs w:val="24"/>
        </w:rPr>
        <w:t>.</w:t>
      </w:r>
      <w:r w:rsidR="00E8407E" w:rsidRPr="005C6D34">
        <w:rPr>
          <w:rFonts w:eastAsia="Georgia" w:cstheme="minorHAnsi"/>
          <w:sz w:val="24"/>
          <w:szCs w:val="24"/>
        </w:rPr>
        <w:t>’</w:t>
      </w:r>
      <w:r w:rsidRPr="005C6D34">
        <w:rPr>
          <w:rFonts w:eastAsia="Georgia" w:cstheme="minorHAnsi"/>
          <w:sz w:val="24"/>
          <w:szCs w:val="24"/>
        </w:rPr>
        <w:t xml:space="preserve"> </w:t>
      </w:r>
      <w:r w:rsidRPr="005C6D34">
        <w:rPr>
          <w:rFonts w:eastAsia="Georgia" w:cstheme="minorHAnsi"/>
          <w:i/>
          <w:iCs/>
          <w:sz w:val="24"/>
          <w:szCs w:val="24"/>
        </w:rPr>
        <w:t>The Cable</w:t>
      </w:r>
      <w:r w:rsidR="004E2AAA" w:rsidRPr="005C6D34">
        <w:rPr>
          <w:rFonts w:eastAsia="Georgia" w:cstheme="minorHAnsi"/>
          <w:i/>
          <w:iCs/>
          <w:sz w:val="24"/>
          <w:szCs w:val="24"/>
        </w:rPr>
        <w:t>,</w:t>
      </w:r>
      <w:r w:rsidRPr="005C6D34">
        <w:rPr>
          <w:rFonts w:eastAsia="Georgia" w:cstheme="minorHAnsi"/>
          <w:sz w:val="24"/>
          <w:szCs w:val="24"/>
        </w:rPr>
        <w:t xml:space="preserve"> </w:t>
      </w:r>
      <w:r w:rsidR="00817C4C" w:rsidRPr="005C6D34">
        <w:rPr>
          <w:rFonts w:eastAsia="Georgia" w:cstheme="minorHAnsi"/>
          <w:sz w:val="24"/>
          <w:szCs w:val="24"/>
        </w:rPr>
        <w:t>24 March</w:t>
      </w:r>
      <w:r w:rsidR="004E2AAA" w:rsidRPr="005C6D34">
        <w:rPr>
          <w:rFonts w:eastAsia="Georgia" w:cstheme="minorHAnsi"/>
          <w:sz w:val="24"/>
          <w:szCs w:val="24"/>
        </w:rPr>
        <w:t xml:space="preserve"> </w:t>
      </w:r>
      <w:r w:rsidR="00817C4C" w:rsidRPr="005C6D34">
        <w:rPr>
          <w:rFonts w:eastAsia="Georgia" w:cstheme="minorHAnsi"/>
          <w:sz w:val="24"/>
          <w:szCs w:val="24"/>
        </w:rPr>
        <w:t xml:space="preserve">2022, Online: </w:t>
      </w:r>
      <w:hyperlink r:id="rId22" w:history="1">
        <w:r w:rsidR="00817C4C" w:rsidRPr="005C6D34">
          <w:rPr>
            <w:rStyle w:val="Hyperlink"/>
            <w:rFonts w:eastAsia="Georgia" w:cstheme="minorHAnsi"/>
            <w:sz w:val="24"/>
            <w:szCs w:val="24"/>
          </w:rPr>
          <w:t>https://www.thecable.ng/weaponising-religion-in-yoruba-politics</w:t>
        </w:r>
      </w:hyperlink>
      <w:r w:rsidRPr="005C6D34">
        <w:rPr>
          <w:rFonts w:cstheme="minorHAnsi"/>
          <w:sz w:val="24"/>
          <w:szCs w:val="24"/>
        </w:rPr>
        <w:t xml:space="preserve"> </w:t>
      </w:r>
    </w:p>
    <w:p w14:paraId="648BCF28" w14:textId="21CC4D69"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lastRenderedPageBreak/>
        <w:t>Lee, H. (2020) Voters</w:t>
      </w:r>
      <w:r w:rsidR="00A03141" w:rsidRPr="005C6D34">
        <w:rPr>
          <w:rFonts w:eastAsia="Georgia" w:cstheme="minorHAnsi"/>
          <w:sz w:val="24"/>
          <w:szCs w:val="24"/>
        </w:rPr>
        <w:t>’</w:t>
      </w:r>
      <w:r w:rsidRPr="005C6D34">
        <w:rPr>
          <w:rFonts w:eastAsia="Georgia" w:cstheme="minorHAnsi"/>
          <w:sz w:val="24"/>
          <w:szCs w:val="24"/>
        </w:rPr>
        <w:t xml:space="preserve"> involvement, attitude, and confidence in the era of new media </w:t>
      </w:r>
      <w:r w:rsidRPr="005C6D34">
        <w:rPr>
          <w:rFonts w:eastAsia="Georgia" w:cstheme="minorHAnsi"/>
          <w:i/>
          <w:iCs/>
          <w:sz w:val="24"/>
          <w:szCs w:val="24"/>
        </w:rPr>
        <w:t>Palgrave Communications</w:t>
      </w:r>
      <w:r w:rsidRPr="005C6D34">
        <w:rPr>
          <w:rFonts w:eastAsia="Georgia" w:cstheme="minorHAnsi"/>
          <w:sz w:val="24"/>
          <w:szCs w:val="24"/>
        </w:rPr>
        <w:t xml:space="preserve">. 6(1): DOI: </w:t>
      </w:r>
      <w:hyperlink r:id="rId23">
        <w:r w:rsidRPr="005C6D34">
          <w:rPr>
            <w:rStyle w:val="Hyperlink"/>
            <w:rFonts w:eastAsia="Georgia" w:cstheme="minorHAnsi"/>
            <w:sz w:val="24"/>
            <w:szCs w:val="24"/>
          </w:rPr>
          <w:t>https://doi.org/10.1057/s41599-019-0368-9</w:t>
        </w:r>
      </w:hyperlink>
      <w:r w:rsidRPr="005C6D34">
        <w:rPr>
          <w:rFonts w:eastAsia="Georgia" w:cstheme="minorHAnsi"/>
          <w:sz w:val="24"/>
          <w:szCs w:val="24"/>
        </w:rPr>
        <w:t xml:space="preserve">  </w:t>
      </w:r>
    </w:p>
    <w:p w14:paraId="629727B1"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Lewis-Beck, C. &amp; and Martini, N. F. (2020) Economic perceptions and voting </w:t>
      </w:r>
      <w:proofErr w:type="spellStart"/>
      <w:r w:rsidRPr="005C6D34">
        <w:rPr>
          <w:rFonts w:eastAsia="Georgia" w:cstheme="minorHAnsi"/>
          <w:sz w:val="24"/>
          <w:szCs w:val="24"/>
        </w:rPr>
        <w:t>behavior</w:t>
      </w:r>
      <w:proofErr w:type="spellEnd"/>
      <w:r w:rsidRPr="005C6D34">
        <w:rPr>
          <w:rFonts w:eastAsia="Georgia" w:cstheme="minorHAnsi"/>
          <w:sz w:val="24"/>
          <w:szCs w:val="24"/>
        </w:rPr>
        <w:t xml:space="preserve"> in US presidential elections</w:t>
      </w:r>
      <w:r w:rsidRPr="005C6D34">
        <w:rPr>
          <w:rFonts w:eastAsia="Georgia" w:cstheme="minorHAnsi"/>
          <w:i/>
          <w:iCs/>
          <w:sz w:val="24"/>
          <w:szCs w:val="24"/>
        </w:rPr>
        <w:t xml:space="preserve"> Research and Politics</w:t>
      </w:r>
      <w:r w:rsidRPr="005C6D34">
        <w:rPr>
          <w:rFonts w:eastAsia="Georgia" w:cstheme="minorHAnsi"/>
          <w:sz w:val="24"/>
          <w:szCs w:val="24"/>
        </w:rPr>
        <w:t>. 1-6. DOI: 10.1177/2053168020972811</w:t>
      </w:r>
    </w:p>
    <w:p w14:paraId="5BDA9C4C" w14:textId="77777777" w:rsidR="00DE6F8C" w:rsidRPr="005C6D34" w:rsidRDefault="00DE6F8C" w:rsidP="004453A9">
      <w:pPr>
        <w:spacing w:before="240" w:after="0" w:line="240" w:lineRule="auto"/>
        <w:ind w:left="720" w:hanging="720"/>
        <w:rPr>
          <w:rFonts w:cstheme="minorHAnsi"/>
          <w:sz w:val="24"/>
          <w:szCs w:val="24"/>
        </w:rPr>
      </w:pPr>
      <w:proofErr w:type="spellStart"/>
      <w:r w:rsidRPr="005C6D34">
        <w:rPr>
          <w:rFonts w:eastAsia="Georgia" w:cstheme="minorHAnsi"/>
          <w:sz w:val="24"/>
          <w:szCs w:val="24"/>
        </w:rPr>
        <w:t>Lynge</w:t>
      </w:r>
      <w:proofErr w:type="spellEnd"/>
      <w:r w:rsidRPr="005C6D34">
        <w:rPr>
          <w:rFonts w:eastAsia="Georgia" w:cstheme="minorHAnsi"/>
          <w:sz w:val="24"/>
          <w:szCs w:val="24"/>
        </w:rPr>
        <w:t xml:space="preserve">, H., &amp;  Martínez i Coma, F. (2022) The effect of economic downturns on voter turnout in Africa. </w:t>
      </w:r>
      <w:r w:rsidRPr="005C6D34">
        <w:rPr>
          <w:rFonts w:eastAsia="Georgia" w:cstheme="minorHAnsi"/>
          <w:i/>
          <w:iCs/>
          <w:sz w:val="24"/>
          <w:szCs w:val="24"/>
        </w:rPr>
        <w:t xml:space="preserve">Electoral Studies </w:t>
      </w:r>
      <w:r w:rsidRPr="005C6D34">
        <w:rPr>
          <w:rFonts w:eastAsia="Georgia" w:cstheme="minorHAnsi"/>
          <w:sz w:val="24"/>
          <w:szCs w:val="24"/>
        </w:rPr>
        <w:t xml:space="preserve">76: 1-14 DOI: </w:t>
      </w:r>
      <w:hyperlink r:id="rId24">
        <w:r w:rsidRPr="005C6D34">
          <w:rPr>
            <w:rStyle w:val="Hyperlink"/>
            <w:rFonts w:eastAsia="Georgia" w:cstheme="minorHAnsi"/>
            <w:sz w:val="24"/>
            <w:szCs w:val="24"/>
          </w:rPr>
          <w:t>https://doi.org/10.1016/j.electstud.2022.102456</w:t>
        </w:r>
      </w:hyperlink>
      <w:r w:rsidRPr="005C6D34">
        <w:rPr>
          <w:rFonts w:eastAsia="Georgia" w:cstheme="minorHAnsi"/>
          <w:sz w:val="24"/>
          <w:szCs w:val="24"/>
        </w:rPr>
        <w:t xml:space="preserve">. </w:t>
      </w:r>
    </w:p>
    <w:p w14:paraId="6CAAF822"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Martins, R. and </w:t>
      </w:r>
      <w:proofErr w:type="spellStart"/>
      <w:r w:rsidRPr="005C6D34">
        <w:rPr>
          <w:rFonts w:eastAsia="Georgia" w:cstheme="minorHAnsi"/>
          <w:sz w:val="24"/>
          <w:szCs w:val="24"/>
        </w:rPr>
        <w:t>Veiga</w:t>
      </w:r>
      <w:proofErr w:type="spellEnd"/>
      <w:r w:rsidRPr="005C6D34">
        <w:rPr>
          <w:rFonts w:eastAsia="Georgia" w:cstheme="minorHAnsi"/>
          <w:sz w:val="24"/>
          <w:szCs w:val="24"/>
        </w:rPr>
        <w:t xml:space="preserve">, F.J (2014) Does voter turnout affect the votes for the incumbent government? </w:t>
      </w:r>
      <w:r w:rsidRPr="005C6D34">
        <w:rPr>
          <w:rFonts w:eastAsia="Georgia" w:cstheme="minorHAnsi"/>
          <w:i/>
          <w:iCs/>
          <w:sz w:val="24"/>
          <w:szCs w:val="24"/>
        </w:rPr>
        <w:t>European Journal of Political Economy</w:t>
      </w:r>
      <w:r w:rsidRPr="005C6D34">
        <w:rPr>
          <w:rFonts w:eastAsia="Georgia" w:cstheme="minorHAnsi"/>
          <w:sz w:val="24"/>
          <w:szCs w:val="24"/>
        </w:rPr>
        <w:t xml:space="preserve"> 36(0): 274-286</w:t>
      </w:r>
    </w:p>
    <w:p w14:paraId="75FE1919" w14:textId="77777777" w:rsidR="00DE6F8C" w:rsidRPr="005C6D34" w:rsidRDefault="00DE6F8C" w:rsidP="004453A9">
      <w:pPr>
        <w:spacing w:before="240" w:after="0" w:line="240" w:lineRule="auto"/>
        <w:ind w:left="720" w:hanging="720"/>
        <w:rPr>
          <w:rFonts w:eastAsia="Georgia" w:cstheme="minorHAnsi"/>
          <w:sz w:val="24"/>
          <w:szCs w:val="24"/>
        </w:rPr>
      </w:pPr>
      <w:r w:rsidRPr="005C6D34">
        <w:rPr>
          <w:rFonts w:eastAsia="Georgia" w:cstheme="minorHAnsi"/>
          <w:sz w:val="24"/>
          <w:szCs w:val="24"/>
        </w:rPr>
        <w:t xml:space="preserve">Martins, R., &amp; </w:t>
      </w:r>
      <w:proofErr w:type="spellStart"/>
      <w:r w:rsidRPr="005C6D34">
        <w:rPr>
          <w:rFonts w:eastAsia="Georgia" w:cstheme="minorHAnsi"/>
          <w:sz w:val="24"/>
          <w:szCs w:val="24"/>
        </w:rPr>
        <w:t>Veiga</w:t>
      </w:r>
      <w:proofErr w:type="spellEnd"/>
      <w:r w:rsidRPr="005C6D34">
        <w:rPr>
          <w:rFonts w:eastAsia="Georgia" w:cstheme="minorHAnsi"/>
          <w:sz w:val="24"/>
          <w:szCs w:val="24"/>
        </w:rPr>
        <w:t xml:space="preserve">, F.J. (2013). Economic performance and turnout at national and local elections. </w:t>
      </w:r>
      <w:r w:rsidRPr="005C6D34">
        <w:rPr>
          <w:rFonts w:eastAsia="Georgia" w:cstheme="minorHAnsi"/>
          <w:i/>
          <w:iCs/>
          <w:sz w:val="24"/>
          <w:szCs w:val="24"/>
        </w:rPr>
        <w:t>Public Choice</w:t>
      </w:r>
      <w:r w:rsidRPr="005C6D34">
        <w:rPr>
          <w:rFonts w:eastAsia="Georgia" w:cstheme="minorHAnsi"/>
          <w:sz w:val="24"/>
          <w:szCs w:val="24"/>
        </w:rPr>
        <w:t xml:space="preserve"> 157 (3/4), 429–448.</w:t>
      </w:r>
    </w:p>
    <w:p w14:paraId="1C413286" w14:textId="77777777" w:rsidR="00632587" w:rsidRPr="005C6D34" w:rsidRDefault="00632587" w:rsidP="004453A9">
      <w:pPr>
        <w:spacing w:before="240" w:after="0" w:line="240" w:lineRule="auto"/>
        <w:ind w:left="720" w:hanging="720"/>
        <w:rPr>
          <w:sz w:val="24"/>
          <w:szCs w:val="24"/>
        </w:rPr>
      </w:pPr>
      <w:r w:rsidRPr="005C6D34">
        <w:rPr>
          <w:rFonts w:cstheme="minorHAnsi"/>
          <w:sz w:val="24"/>
          <w:szCs w:val="24"/>
        </w:rPr>
        <w:t xml:space="preserve">News Agency of Nigeria (NAN), (2018) ‘Clerics urge INEC to make Churches, Mosques registration points’ </w:t>
      </w:r>
      <w:r w:rsidRPr="005C6D34">
        <w:rPr>
          <w:rFonts w:cstheme="minorHAnsi"/>
          <w:i/>
          <w:sz w:val="24"/>
          <w:szCs w:val="24"/>
        </w:rPr>
        <w:t xml:space="preserve">Punch. </w:t>
      </w:r>
      <w:r w:rsidRPr="005C6D34">
        <w:rPr>
          <w:rFonts w:cstheme="minorHAnsi"/>
          <w:sz w:val="24"/>
          <w:szCs w:val="24"/>
        </w:rPr>
        <w:t xml:space="preserve">12 March 2018, </w:t>
      </w:r>
      <w:r w:rsidRPr="005C6D34">
        <w:rPr>
          <w:rFonts w:cstheme="minorHAnsi"/>
          <w:iCs/>
          <w:sz w:val="24"/>
          <w:szCs w:val="24"/>
        </w:rPr>
        <w:t xml:space="preserve">Online: </w:t>
      </w:r>
      <w:r w:rsidRPr="005C6D34">
        <w:rPr>
          <w:rFonts w:cstheme="minorHAnsi"/>
          <w:i/>
          <w:sz w:val="24"/>
          <w:szCs w:val="24"/>
        </w:rPr>
        <w:t xml:space="preserve"> </w:t>
      </w:r>
      <w:hyperlink r:id="rId25" w:history="1">
        <w:r w:rsidRPr="005C6D34">
          <w:rPr>
            <w:rStyle w:val="Hyperlink"/>
            <w:sz w:val="24"/>
            <w:szCs w:val="24"/>
          </w:rPr>
          <w:t>https://punchng.com/clerics-urge-inec-to-make-churches-mosques-registration-points/</w:t>
        </w:r>
      </w:hyperlink>
      <w:r w:rsidRPr="005C6D34">
        <w:rPr>
          <w:sz w:val="24"/>
          <w:szCs w:val="24"/>
        </w:rPr>
        <w:t xml:space="preserve"> </w:t>
      </w:r>
    </w:p>
    <w:p w14:paraId="3015D1E3" w14:textId="06D45EB0" w:rsidR="00DE6F8C" w:rsidRPr="005C6D34" w:rsidRDefault="00DE6F8C" w:rsidP="004453A9">
      <w:pPr>
        <w:spacing w:before="240" w:after="0" w:line="240" w:lineRule="auto"/>
        <w:ind w:left="720" w:hanging="720"/>
        <w:rPr>
          <w:rFonts w:cstheme="minorHAnsi"/>
          <w:sz w:val="24"/>
          <w:szCs w:val="24"/>
        </w:rPr>
      </w:pPr>
      <w:r w:rsidRPr="005C6D34">
        <w:rPr>
          <w:rFonts w:cstheme="minorHAnsi"/>
          <w:sz w:val="24"/>
          <w:szCs w:val="24"/>
        </w:rPr>
        <w:t xml:space="preserve">Nigeria: States &amp; Cities - Population Statistics, Maps, Charts, Weather and Web Information. (2022). [online] Citypopulation.de. Available at: </w:t>
      </w:r>
      <w:hyperlink r:id="rId26" w:history="1">
        <w:r w:rsidRPr="005C6D34">
          <w:rPr>
            <w:rStyle w:val="Hyperlink"/>
            <w:rFonts w:cstheme="minorHAnsi"/>
            <w:sz w:val="24"/>
            <w:szCs w:val="24"/>
          </w:rPr>
          <w:t>https://www.citypopulation.de/en/nigeria/cities/</w:t>
        </w:r>
      </w:hyperlink>
      <w:r w:rsidRPr="005C6D34">
        <w:rPr>
          <w:rFonts w:cstheme="minorHAnsi"/>
          <w:sz w:val="24"/>
          <w:szCs w:val="24"/>
        </w:rPr>
        <w:t xml:space="preserve"> [Accessed 20 August 2022].</w:t>
      </w:r>
    </w:p>
    <w:p w14:paraId="5021CA67" w14:textId="0095D205" w:rsidR="00DE6F8C" w:rsidRPr="005C6D34" w:rsidRDefault="00DE6F8C" w:rsidP="004453A9">
      <w:pPr>
        <w:spacing w:before="240" w:after="0" w:line="240" w:lineRule="auto"/>
        <w:ind w:left="720" w:hanging="720"/>
        <w:rPr>
          <w:rFonts w:cstheme="minorHAnsi"/>
          <w:sz w:val="24"/>
          <w:szCs w:val="24"/>
        </w:rPr>
      </w:pPr>
      <w:proofErr w:type="spellStart"/>
      <w:r w:rsidRPr="005C6D34">
        <w:rPr>
          <w:rFonts w:cstheme="minorHAnsi"/>
          <w:sz w:val="24"/>
          <w:szCs w:val="24"/>
        </w:rPr>
        <w:t>Ostien</w:t>
      </w:r>
      <w:proofErr w:type="spellEnd"/>
      <w:r w:rsidRPr="005C6D34">
        <w:rPr>
          <w:rFonts w:cstheme="minorHAnsi"/>
          <w:sz w:val="24"/>
          <w:szCs w:val="24"/>
        </w:rPr>
        <w:t>, P. (2012). Percentages By Religion of the 1952 and 1963 Populations of Nigeria</w:t>
      </w:r>
      <w:r w:rsidR="00A03141" w:rsidRPr="005C6D34">
        <w:rPr>
          <w:rFonts w:cstheme="minorHAnsi"/>
          <w:sz w:val="24"/>
          <w:szCs w:val="24"/>
        </w:rPr>
        <w:t>’</w:t>
      </w:r>
      <w:r w:rsidRPr="005C6D34">
        <w:rPr>
          <w:rFonts w:cstheme="minorHAnsi"/>
          <w:sz w:val="24"/>
          <w:szCs w:val="24"/>
        </w:rPr>
        <w:t>s Present 36 States. Oxford: Nigeria Research Network (NRN), Oxford Department of International Development, NRN Background Paper No. 1.</w:t>
      </w:r>
    </w:p>
    <w:p w14:paraId="1561D907" w14:textId="0F8C1B72" w:rsidR="000507E5" w:rsidRPr="005C6D34" w:rsidRDefault="000507E5" w:rsidP="000507E5">
      <w:pPr>
        <w:spacing w:before="240" w:after="0" w:line="240" w:lineRule="auto"/>
        <w:ind w:left="720" w:hanging="720"/>
        <w:rPr>
          <w:rFonts w:eastAsia="Georgia" w:cstheme="minorHAnsi"/>
          <w:sz w:val="24"/>
          <w:szCs w:val="24"/>
        </w:rPr>
      </w:pPr>
      <w:r w:rsidRPr="005C6D34">
        <w:rPr>
          <w:rFonts w:eastAsia="Georgia" w:cstheme="minorHAnsi"/>
          <w:sz w:val="24"/>
          <w:szCs w:val="24"/>
        </w:rPr>
        <w:t>Oxford Poverty and Human Development Initiative (October 2022). “Nigeria Country Briefing”, Oxford</w:t>
      </w:r>
      <w:r w:rsidR="00EC3F1B" w:rsidRPr="005C6D34">
        <w:rPr>
          <w:rFonts w:eastAsia="Georgia" w:cstheme="minorHAnsi"/>
          <w:sz w:val="24"/>
          <w:szCs w:val="24"/>
        </w:rPr>
        <w:t xml:space="preserve"> </w:t>
      </w:r>
      <w:r w:rsidRPr="005C6D34">
        <w:rPr>
          <w:rFonts w:eastAsia="Georgia" w:cstheme="minorHAnsi"/>
          <w:sz w:val="24"/>
          <w:szCs w:val="24"/>
        </w:rPr>
        <w:t>Poverty and Human Development Initiative, University of Oxford.</w:t>
      </w:r>
    </w:p>
    <w:p w14:paraId="3B5EC28F" w14:textId="06C6D83A" w:rsidR="00DE6F8C" w:rsidRPr="005C6D34" w:rsidRDefault="00DE6F8C" w:rsidP="004453A9">
      <w:pPr>
        <w:spacing w:before="240" w:after="0" w:line="240" w:lineRule="auto"/>
        <w:ind w:left="720" w:hanging="720"/>
        <w:rPr>
          <w:rFonts w:eastAsia="Georgia" w:cstheme="minorHAnsi"/>
          <w:sz w:val="24"/>
          <w:szCs w:val="24"/>
        </w:rPr>
      </w:pPr>
      <w:r w:rsidRPr="005C6D34">
        <w:rPr>
          <w:rFonts w:eastAsia="Georgia" w:cstheme="minorHAnsi"/>
          <w:sz w:val="24"/>
          <w:szCs w:val="24"/>
        </w:rPr>
        <w:t xml:space="preserve">Patel, L., Sadie, Y., &amp; </w:t>
      </w:r>
      <w:proofErr w:type="spellStart"/>
      <w:r w:rsidRPr="005C6D34">
        <w:rPr>
          <w:rFonts w:eastAsia="Georgia" w:cstheme="minorHAnsi"/>
          <w:sz w:val="24"/>
          <w:szCs w:val="24"/>
        </w:rPr>
        <w:t>Bryer</w:t>
      </w:r>
      <w:proofErr w:type="spellEnd"/>
      <w:r w:rsidRPr="005C6D34">
        <w:rPr>
          <w:rFonts w:eastAsia="Georgia" w:cstheme="minorHAnsi"/>
          <w:sz w:val="24"/>
          <w:szCs w:val="24"/>
        </w:rPr>
        <w:t xml:space="preserve">, M. (2019) </w:t>
      </w:r>
      <w:r w:rsidRPr="005C6D34">
        <w:rPr>
          <w:rFonts w:eastAsia="Georgia" w:cstheme="minorHAnsi"/>
          <w:i/>
          <w:iCs/>
          <w:sz w:val="24"/>
          <w:szCs w:val="24"/>
        </w:rPr>
        <w:t xml:space="preserve">The 2019 elections: socio­economic performance and voter preferences </w:t>
      </w:r>
      <w:r w:rsidRPr="005C6D34">
        <w:rPr>
          <w:rFonts w:eastAsia="Georgia" w:cstheme="minorHAnsi"/>
          <w:sz w:val="24"/>
          <w:szCs w:val="24"/>
        </w:rPr>
        <w:t>Research Brief. Johannesburg: Centre for Social Development in Africa</w:t>
      </w:r>
    </w:p>
    <w:p w14:paraId="3D5ACC6E" w14:textId="77777777" w:rsidR="00DE6F8C" w:rsidRPr="005C6D34" w:rsidRDefault="00DE6F8C" w:rsidP="004453A9">
      <w:pPr>
        <w:spacing w:before="240" w:after="0" w:line="240" w:lineRule="auto"/>
        <w:ind w:left="720" w:hanging="720"/>
        <w:rPr>
          <w:rFonts w:cstheme="minorHAnsi"/>
          <w:sz w:val="24"/>
          <w:szCs w:val="24"/>
        </w:rPr>
      </w:pPr>
      <w:r w:rsidRPr="005C6D34">
        <w:rPr>
          <w:rFonts w:cstheme="minorHAnsi"/>
          <w:sz w:val="24"/>
          <w:szCs w:val="24"/>
        </w:rPr>
        <w:t xml:space="preserve">Riley, S. P. (1992). Political Adjustment or Domestic Pressure: Democratic Politics and Political Choice in Africa. </w:t>
      </w:r>
      <w:r w:rsidRPr="005C6D34">
        <w:rPr>
          <w:rFonts w:cstheme="minorHAnsi"/>
          <w:i/>
          <w:iCs/>
          <w:sz w:val="24"/>
          <w:szCs w:val="24"/>
        </w:rPr>
        <w:t>Third World Quarterly</w:t>
      </w:r>
      <w:r w:rsidRPr="005C6D34">
        <w:rPr>
          <w:rFonts w:cstheme="minorHAnsi"/>
          <w:sz w:val="24"/>
          <w:szCs w:val="24"/>
        </w:rPr>
        <w:t xml:space="preserve">, 13(3), 539–551. </w:t>
      </w:r>
    </w:p>
    <w:p w14:paraId="5F6161B0"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Rowe, K. T. (2015). Making voice count: Economic voting and the number of parties. </w:t>
      </w:r>
      <w:r w:rsidRPr="005C6D34">
        <w:rPr>
          <w:rFonts w:eastAsia="Georgia" w:cstheme="minorHAnsi"/>
          <w:i/>
          <w:iCs/>
          <w:sz w:val="24"/>
          <w:szCs w:val="24"/>
        </w:rPr>
        <w:t>Party Politics</w:t>
      </w:r>
      <w:r w:rsidRPr="005C6D34">
        <w:rPr>
          <w:rFonts w:eastAsia="Georgia" w:cstheme="minorHAnsi"/>
          <w:sz w:val="24"/>
          <w:szCs w:val="24"/>
        </w:rPr>
        <w:t xml:space="preserve">, 21(5), 803–812. </w:t>
      </w:r>
      <w:hyperlink r:id="rId27">
        <w:r w:rsidRPr="005C6D34">
          <w:rPr>
            <w:rStyle w:val="Hyperlink"/>
            <w:rFonts w:eastAsia="Georgia" w:cstheme="minorHAnsi"/>
            <w:sz w:val="24"/>
            <w:szCs w:val="24"/>
          </w:rPr>
          <w:t>https://doi.org/10.1177/1354068813509516</w:t>
        </w:r>
      </w:hyperlink>
      <w:r w:rsidRPr="005C6D34">
        <w:rPr>
          <w:rFonts w:eastAsia="Georgia" w:cstheme="minorHAnsi"/>
          <w:sz w:val="24"/>
          <w:szCs w:val="24"/>
        </w:rPr>
        <w:t xml:space="preserve"> </w:t>
      </w:r>
    </w:p>
    <w:p w14:paraId="35ED92F3"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Schlozman, K. L., </w:t>
      </w:r>
      <w:proofErr w:type="spellStart"/>
      <w:r w:rsidRPr="005C6D34">
        <w:rPr>
          <w:rFonts w:eastAsia="Georgia" w:cstheme="minorHAnsi"/>
          <w:sz w:val="24"/>
          <w:szCs w:val="24"/>
        </w:rPr>
        <w:t>Verba</w:t>
      </w:r>
      <w:proofErr w:type="spellEnd"/>
      <w:r w:rsidRPr="005C6D34">
        <w:rPr>
          <w:rFonts w:eastAsia="Georgia" w:cstheme="minorHAnsi"/>
          <w:sz w:val="24"/>
          <w:szCs w:val="24"/>
        </w:rPr>
        <w:t xml:space="preserve">, S., &amp; Brady, H. E. (2010). Weapon of the strong? Participatory inequality and the internet. </w:t>
      </w:r>
      <w:r w:rsidRPr="005C6D34">
        <w:rPr>
          <w:rFonts w:eastAsia="Georgia" w:cstheme="minorHAnsi"/>
          <w:i/>
          <w:iCs/>
          <w:sz w:val="24"/>
          <w:szCs w:val="24"/>
        </w:rPr>
        <w:t>Perspectives on Politics</w:t>
      </w:r>
      <w:r w:rsidRPr="005C6D34">
        <w:rPr>
          <w:rFonts w:eastAsia="Georgia" w:cstheme="minorHAnsi"/>
          <w:sz w:val="24"/>
          <w:szCs w:val="24"/>
        </w:rPr>
        <w:t>, 8, 487–509.</w:t>
      </w:r>
    </w:p>
    <w:p w14:paraId="762B5156" w14:textId="2EF4E9B2"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Schulz-Herzenberg, C. (2019). To vote or not? Testing micro-level theories of voter turnout in South Africa</w:t>
      </w:r>
      <w:r w:rsidR="00A03141" w:rsidRPr="005C6D34">
        <w:rPr>
          <w:rFonts w:eastAsia="Georgia" w:cstheme="minorHAnsi"/>
          <w:sz w:val="24"/>
          <w:szCs w:val="24"/>
        </w:rPr>
        <w:t>’</w:t>
      </w:r>
      <w:r w:rsidRPr="005C6D34">
        <w:rPr>
          <w:rFonts w:eastAsia="Georgia" w:cstheme="minorHAnsi"/>
          <w:sz w:val="24"/>
          <w:szCs w:val="24"/>
        </w:rPr>
        <w:t xml:space="preserve">s 2014 general elections. </w:t>
      </w:r>
      <w:r w:rsidRPr="005C6D34">
        <w:rPr>
          <w:rFonts w:eastAsia="Georgia" w:cstheme="minorHAnsi"/>
          <w:i/>
          <w:iCs/>
          <w:sz w:val="24"/>
          <w:szCs w:val="24"/>
        </w:rPr>
        <w:t>Politikon South African Journal of Political Studies</w:t>
      </w:r>
      <w:r w:rsidRPr="005C6D34">
        <w:rPr>
          <w:rFonts w:eastAsia="Georgia" w:cstheme="minorHAnsi"/>
          <w:sz w:val="24"/>
          <w:szCs w:val="24"/>
        </w:rPr>
        <w:t xml:space="preserve"> 46(2), 139–156.</w:t>
      </w:r>
    </w:p>
    <w:p w14:paraId="76DC4102" w14:textId="58A63884" w:rsidR="00DE6F8C" w:rsidRPr="005C6D34" w:rsidRDefault="00DE6F8C" w:rsidP="004453A9">
      <w:pPr>
        <w:spacing w:before="240" w:after="0" w:line="240" w:lineRule="auto"/>
        <w:ind w:left="720" w:hanging="720"/>
        <w:rPr>
          <w:rFonts w:cstheme="minorHAnsi"/>
          <w:sz w:val="24"/>
          <w:szCs w:val="24"/>
        </w:rPr>
      </w:pPr>
      <w:proofErr w:type="spellStart"/>
      <w:r w:rsidRPr="005C6D34">
        <w:rPr>
          <w:rFonts w:eastAsia="Georgia" w:cstheme="minorHAnsi"/>
          <w:sz w:val="24"/>
          <w:szCs w:val="24"/>
        </w:rPr>
        <w:lastRenderedPageBreak/>
        <w:t>Siollun</w:t>
      </w:r>
      <w:proofErr w:type="spellEnd"/>
      <w:r w:rsidRPr="005C6D34">
        <w:rPr>
          <w:rFonts w:eastAsia="Georgia" w:cstheme="minorHAnsi"/>
          <w:sz w:val="24"/>
          <w:szCs w:val="24"/>
        </w:rPr>
        <w:t xml:space="preserve">, M. (2009). </w:t>
      </w:r>
      <w:r w:rsidRPr="005C6D34">
        <w:rPr>
          <w:rFonts w:eastAsia="Georgia" w:cstheme="minorHAnsi"/>
          <w:i/>
          <w:iCs/>
          <w:sz w:val="24"/>
          <w:szCs w:val="24"/>
        </w:rPr>
        <w:t>Oil, politics and violence: Nigeria</w:t>
      </w:r>
      <w:r w:rsidR="00A03141" w:rsidRPr="005C6D34">
        <w:rPr>
          <w:rFonts w:eastAsia="Georgia" w:cstheme="minorHAnsi"/>
          <w:i/>
          <w:iCs/>
          <w:sz w:val="24"/>
          <w:szCs w:val="24"/>
        </w:rPr>
        <w:t>’</w:t>
      </w:r>
      <w:r w:rsidRPr="005C6D34">
        <w:rPr>
          <w:rFonts w:eastAsia="Georgia" w:cstheme="minorHAnsi"/>
          <w:i/>
          <w:iCs/>
          <w:sz w:val="24"/>
          <w:szCs w:val="24"/>
        </w:rPr>
        <w:t>s military coup culture</w:t>
      </w:r>
      <w:r w:rsidRPr="005C6D34">
        <w:rPr>
          <w:rFonts w:eastAsia="Georgia" w:cstheme="minorHAnsi"/>
          <w:sz w:val="24"/>
          <w:szCs w:val="24"/>
        </w:rPr>
        <w:t xml:space="preserve"> (1966-1976). Lagos: </w:t>
      </w:r>
      <w:proofErr w:type="spellStart"/>
      <w:r w:rsidRPr="005C6D34">
        <w:rPr>
          <w:rFonts w:eastAsia="Georgia" w:cstheme="minorHAnsi"/>
          <w:sz w:val="24"/>
          <w:szCs w:val="24"/>
        </w:rPr>
        <w:t>Algora</w:t>
      </w:r>
      <w:proofErr w:type="spellEnd"/>
      <w:r w:rsidRPr="005C6D34">
        <w:rPr>
          <w:rFonts w:eastAsia="Georgia" w:cstheme="minorHAnsi"/>
          <w:sz w:val="24"/>
          <w:szCs w:val="24"/>
        </w:rPr>
        <w:t xml:space="preserve"> Publishing.</w:t>
      </w:r>
    </w:p>
    <w:p w14:paraId="7AB6D1CC" w14:textId="77777777" w:rsidR="00DE6F8C" w:rsidRPr="005C6D34" w:rsidRDefault="00DE6F8C" w:rsidP="004453A9">
      <w:pPr>
        <w:spacing w:before="240" w:after="0" w:line="240" w:lineRule="auto"/>
        <w:ind w:left="720" w:hanging="720"/>
        <w:rPr>
          <w:rFonts w:cstheme="minorHAnsi"/>
          <w:sz w:val="24"/>
          <w:szCs w:val="24"/>
        </w:rPr>
      </w:pPr>
      <w:proofErr w:type="spellStart"/>
      <w:r w:rsidRPr="005C6D34">
        <w:rPr>
          <w:rFonts w:eastAsia="Georgia" w:cstheme="minorHAnsi"/>
          <w:sz w:val="24"/>
          <w:szCs w:val="24"/>
        </w:rPr>
        <w:t>Siollun</w:t>
      </w:r>
      <w:proofErr w:type="spellEnd"/>
      <w:r w:rsidRPr="005C6D34">
        <w:rPr>
          <w:rFonts w:eastAsia="Georgia" w:cstheme="minorHAnsi"/>
          <w:sz w:val="24"/>
          <w:szCs w:val="24"/>
        </w:rPr>
        <w:t xml:space="preserve">, M. (2013) </w:t>
      </w:r>
      <w:r w:rsidRPr="005C6D34">
        <w:rPr>
          <w:rFonts w:eastAsia="Georgia" w:cstheme="minorHAnsi"/>
          <w:i/>
          <w:iCs/>
          <w:sz w:val="24"/>
          <w:szCs w:val="24"/>
        </w:rPr>
        <w:t>Soldiers of fortune: Nigerian politics from Buhari to Babangida (1983-1993)</w:t>
      </w:r>
      <w:r w:rsidRPr="005C6D34">
        <w:rPr>
          <w:rFonts w:eastAsia="Georgia" w:cstheme="minorHAnsi"/>
          <w:sz w:val="24"/>
          <w:szCs w:val="24"/>
        </w:rPr>
        <w:t>. Lagos: Cassava Republic Press</w:t>
      </w:r>
    </w:p>
    <w:p w14:paraId="529B8ADA"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Spoon, J. &amp; </w:t>
      </w:r>
      <w:proofErr w:type="spellStart"/>
      <w:r w:rsidRPr="005C6D34">
        <w:rPr>
          <w:rFonts w:eastAsia="Georgia" w:cstheme="minorHAnsi"/>
          <w:sz w:val="24"/>
          <w:szCs w:val="24"/>
        </w:rPr>
        <w:t>Klüver</w:t>
      </w:r>
      <w:proofErr w:type="spellEnd"/>
      <w:r w:rsidRPr="005C6D34">
        <w:rPr>
          <w:rFonts w:eastAsia="Georgia" w:cstheme="minorHAnsi"/>
          <w:sz w:val="24"/>
          <w:szCs w:val="24"/>
        </w:rPr>
        <w:t xml:space="preserve">, H. (2015) Voter polarisation and party responsiveness: Why parties emphasise divided issues, but remain silent on unified issues </w:t>
      </w:r>
      <w:r w:rsidRPr="005C6D34">
        <w:rPr>
          <w:rFonts w:eastAsia="Georgia" w:cstheme="minorHAnsi"/>
          <w:i/>
          <w:iCs/>
          <w:sz w:val="24"/>
          <w:szCs w:val="24"/>
        </w:rPr>
        <w:t>European Journal of Political Research</w:t>
      </w:r>
      <w:r w:rsidRPr="005C6D34">
        <w:rPr>
          <w:rFonts w:eastAsia="Georgia" w:cstheme="minorHAnsi"/>
          <w:sz w:val="24"/>
          <w:szCs w:val="24"/>
        </w:rPr>
        <w:t xml:space="preserve"> 54: 343–362, </w:t>
      </w:r>
      <w:proofErr w:type="spellStart"/>
      <w:r w:rsidRPr="005C6D34">
        <w:rPr>
          <w:rFonts w:eastAsia="Georgia" w:cstheme="minorHAnsi"/>
          <w:sz w:val="24"/>
          <w:szCs w:val="24"/>
        </w:rPr>
        <w:t>doi</w:t>
      </w:r>
      <w:proofErr w:type="spellEnd"/>
      <w:r w:rsidRPr="005C6D34">
        <w:rPr>
          <w:rFonts w:eastAsia="Georgia" w:cstheme="minorHAnsi"/>
          <w:sz w:val="24"/>
          <w:szCs w:val="24"/>
        </w:rPr>
        <w:t xml:space="preserve">: 10.1111/1475-6765.12087 </w:t>
      </w:r>
    </w:p>
    <w:p w14:paraId="342A9DE5" w14:textId="6AE91E4E" w:rsidR="00DE6F8C" w:rsidRPr="005C6D34" w:rsidRDefault="00DE6F8C" w:rsidP="004453A9">
      <w:pPr>
        <w:spacing w:before="240" w:after="0" w:line="240" w:lineRule="auto"/>
        <w:ind w:left="720" w:hanging="720"/>
        <w:rPr>
          <w:rFonts w:eastAsia="Georgia" w:cstheme="minorHAnsi"/>
          <w:sz w:val="24"/>
          <w:szCs w:val="24"/>
        </w:rPr>
      </w:pPr>
      <w:proofErr w:type="spellStart"/>
      <w:r w:rsidRPr="005C6D34">
        <w:rPr>
          <w:rFonts w:eastAsia="Georgia" w:cstheme="minorHAnsi"/>
          <w:sz w:val="24"/>
          <w:szCs w:val="24"/>
        </w:rPr>
        <w:t>Szayna</w:t>
      </w:r>
      <w:proofErr w:type="spellEnd"/>
      <w:r w:rsidRPr="005C6D34">
        <w:rPr>
          <w:rFonts w:eastAsia="Georgia" w:cstheme="minorHAnsi"/>
          <w:sz w:val="24"/>
          <w:szCs w:val="24"/>
        </w:rPr>
        <w:t xml:space="preserve">, T. S., </w:t>
      </w:r>
      <w:proofErr w:type="spellStart"/>
      <w:r w:rsidRPr="005C6D34">
        <w:rPr>
          <w:rFonts w:eastAsia="Georgia" w:cstheme="minorHAnsi"/>
          <w:sz w:val="24"/>
          <w:szCs w:val="24"/>
        </w:rPr>
        <w:t>O</w:t>
      </w:r>
      <w:r w:rsidR="00A03141" w:rsidRPr="005C6D34">
        <w:rPr>
          <w:rFonts w:eastAsia="Georgia" w:cstheme="minorHAnsi"/>
          <w:sz w:val="24"/>
          <w:szCs w:val="24"/>
        </w:rPr>
        <w:t>’</w:t>
      </w:r>
      <w:r w:rsidRPr="005C6D34">
        <w:rPr>
          <w:rFonts w:eastAsia="Georgia" w:cstheme="minorHAnsi"/>
          <w:sz w:val="24"/>
          <w:szCs w:val="24"/>
        </w:rPr>
        <w:t>Mahony</w:t>
      </w:r>
      <w:proofErr w:type="spellEnd"/>
      <w:r w:rsidRPr="005C6D34">
        <w:rPr>
          <w:rFonts w:eastAsia="Georgia" w:cstheme="minorHAnsi"/>
          <w:sz w:val="24"/>
          <w:szCs w:val="24"/>
        </w:rPr>
        <w:t xml:space="preserve">, A., Kavanagh, J., Watts, S., Frederick, B., </w:t>
      </w:r>
      <w:proofErr w:type="spellStart"/>
      <w:r w:rsidRPr="005C6D34">
        <w:rPr>
          <w:rFonts w:eastAsia="Georgia" w:cstheme="minorHAnsi"/>
          <w:sz w:val="24"/>
          <w:szCs w:val="24"/>
        </w:rPr>
        <w:t>Norlen</w:t>
      </w:r>
      <w:proofErr w:type="spellEnd"/>
      <w:r w:rsidRPr="005C6D34">
        <w:rPr>
          <w:rFonts w:eastAsia="Georgia" w:cstheme="minorHAnsi"/>
          <w:sz w:val="24"/>
          <w:szCs w:val="24"/>
        </w:rPr>
        <w:t xml:space="preserve">, T.C., and Voorhies, P. (2017) </w:t>
      </w:r>
      <w:r w:rsidRPr="005C6D34">
        <w:rPr>
          <w:rFonts w:eastAsia="Georgia" w:cstheme="minorHAnsi"/>
          <w:i/>
          <w:iCs/>
          <w:sz w:val="24"/>
          <w:szCs w:val="24"/>
        </w:rPr>
        <w:t>Conflict trends and conflict drivers: an empirical assessment of historical conflict patterns and future conflict projections</w:t>
      </w:r>
      <w:r w:rsidRPr="005C6D34">
        <w:rPr>
          <w:rFonts w:eastAsia="Georgia" w:cstheme="minorHAnsi"/>
          <w:sz w:val="24"/>
          <w:szCs w:val="24"/>
        </w:rPr>
        <w:t xml:space="preserve">. Santa Monica, CA: RAND Corporation. </w:t>
      </w:r>
      <w:hyperlink r:id="rId28">
        <w:r w:rsidRPr="005C6D34">
          <w:rPr>
            <w:rStyle w:val="Hyperlink"/>
            <w:rFonts w:eastAsia="Georgia" w:cstheme="minorHAnsi"/>
            <w:sz w:val="24"/>
            <w:szCs w:val="24"/>
          </w:rPr>
          <w:t>https://www.rand.org/pubs/research_reports/RR1063.html</w:t>
        </w:r>
      </w:hyperlink>
      <w:r w:rsidRPr="005C6D34">
        <w:rPr>
          <w:rFonts w:eastAsia="Georgia" w:cstheme="minorHAnsi"/>
          <w:sz w:val="24"/>
          <w:szCs w:val="24"/>
        </w:rPr>
        <w:t xml:space="preserve">. </w:t>
      </w:r>
    </w:p>
    <w:p w14:paraId="61F825B8" w14:textId="0BB87A43" w:rsidR="00DE6F8C" w:rsidRPr="005C6D34" w:rsidRDefault="00DE6F8C" w:rsidP="004453A9">
      <w:pPr>
        <w:spacing w:before="240" w:after="0" w:line="240" w:lineRule="auto"/>
        <w:ind w:left="720" w:hanging="720"/>
        <w:rPr>
          <w:rFonts w:cstheme="minorHAnsi"/>
          <w:sz w:val="24"/>
          <w:szCs w:val="24"/>
        </w:rPr>
      </w:pPr>
      <w:proofErr w:type="spellStart"/>
      <w:r w:rsidRPr="005C6D34">
        <w:rPr>
          <w:rFonts w:cstheme="minorHAnsi"/>
          <w:sz w:val="24"/>
          <w:szCs w:val="24"/>
        </w:rPr>
        <w:t>Tella</w:t>
      </w:r>
      <w:proofErr w:type="spellEnd"/>
      <w:r w:rsidRPr="005C6D34">
        <w:rPr>
          <w:rFonts w:cstheme="minorHAnsi"/>
          <w:sz w:val="24"/>
          <w:szCs w:val="24"/>
        </w:rPr>
        <w:t>, O. (2022). Nigeria</w:t>
      </w:r>
      <w:r w:rsidR="00A03141" w:rsidRPr="005C6D34">
        <w:rPr>
          <w:rFonts w:cstheme="minorHAnsi"/>
          <w:sz w:val="24"/>
          <w:szCs w:val="24"/>
        </w:rPr>
        <w:t>’</w:t>
      </w:r>
      <w:r w:rsidRPr="005C6D34">
        <w:rPr>
          <w:rFonts w:cstheme="minorHAnsi"/>
          <w:sz w:val="24"/>
          <w:szCs w:val="24"/>
        </w:rPr>
        <w:t xml:space="preserve">s Democracy Promotion in Africa: Hard, Soft or Smart Power Stratagem? </w:t>
      </w:r>
      <w:r w:rsidRPr="005C6D34">
        <w:rPr>
          <w:rFonts w:cstheme="minorHAnsi"/>
          <w:i/>
          <w:iCs/>
          <w:sz w:val="24"/>
          <w:szCs w:val="24"/>
        </w:rPr>
        <w:t>Journal of Asian and African Studies</w:t>
      </w:r>
      <w:r w:rsidRPr="005C6D34">
        <w:rPr>
          <w:rFonts w:cstheme="minorHAnsi"/>
          <w:sz w:val="24"/>
          <w:szCs w:val="24"/>
        </w:rPr>
        <w:t>, 57(6), 1277–1292. https://doi.org/10.1177/00219096221076103</w:t>
      </w:r>
    </w:p>
    <w:p w14:paraId="07CBE148" w14:textId="77777777" w:rsidR="00DE6F8C" w:rsidRPr="005C6D34" w:rsidRDefault="00DE6F8C" w:rsidP="004453A9">
      <w:pPr>
        <w:spacing w:before="240" w:after="0" w:line="240" w:lineRule="auto"/>
        <w:ind w:left="720" w:hanging="720"/>
        <w:rPr>
          <w:rFonts w:eastAsia="Georgia" w:cstheme="minorHAnsi"/>
          <w:sz w:val="24"/>
          <w:szCs w:val="24"/>
        </w:rPr>
      </w:pPr>
      <w:r w:rsidRPr="005C6D34">
        <w:rPr>
          <w:rFonts w:eastAsia="Georgia" w:cstheme="minorHAnsi"/>
          <w:sz w:val="24"/>
          <w:szCs w:val="24"/>
        </w:rPr>
        <w:t xml:space="preserve">Tracey, L. (2016) </w:t>
      </w:r>
      <w:r w:rsidRPr="005C6D34">
        <w:rPr>
          <w:rFonts w:eastAsia="Georgia" w:cstheme="minorHAnsi"/>
          <w:i/>
          <w:iCs/>
          <w:sz w:val="24"/>
          <w:szCs w:val="24"/>
        </w:rPr>
        <w:t>Do you want my vote? Understanding the factors that influence voting among young South Africans</w:t>
      </w:r>
      <w:r w:rsidRPr="005C6D34">
        <w:rPr>
          <w:rFonts w:eastAsia="Georgia" w:cstheme="minorHAnsi"/>
          <w:sz w:val="24"/>
          <w:szCs w:val="24"/>
        </w:rPr>
        <w:t xml:space="preserve"> Pretoria: Institute for Security Studies </w:t>
      </w:r>
    </w:p>
    <w:p w14:paraId="338E4E0A" w14:textId="77777777" w:rsidR="00DE6F8C" w:rsidRPr="005C6D34" w:rsidRDefault="00DE6F8C" w:rsidP="004453A9">
      <w:pPr>
        <w:spacing w:before="240" w:after="0" w:line="240" w:lineRule="auto"/>
        <w:ind w:left="720" w:hanging="720"/>
        <w:rPr>
          <w:rFonts w:cstheme="minorHAnsi"/>
          <w:sz w:val="24"/>
          <w:szCs w:val="24"/>
        </w:rPr>
      </w:pPr>
      <w:r w:rsidRPr="005C6D34">
        <w:rPr>
          <w:rFonts w:cstheme="minorHAnsi"/>
          <w:sz w:val="24"/>
          <w:szCs w:val="24"/>
        </w:rPr>
        <w:t xml:space="preserve">United Nations Population Division. 2022. World Population Prospects 2022: Summary of Results. [online] Available at: &lt;https://www.un.org/development/desa/pd/content/World-Population-Prospects-2022&gt; [Accessed 20 August 2022]. </w:t>
      </w:r>
    </w:p>
    <w:p w14:paraId="7554A906"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Vera, S. B. (2022) How does clarity of alternatives affect the electoral fortune of corrupt politicians? </w:t>
      </w:r>
      <w:r w:rsidRPr="005C6D34">
        <w:rPr>
          <w:rFonts w:eastAsia="Georgia" w:cstheme="minorHAnsi"/>
          <w:i/>
          <w:iCs/>
          <w:sz w:val="24"/>
          <w:szCs w:val="24"/>
        </w:rPr>
        <w:t xml:space="preserve">Electoral Studies </w:t>
      </w:r>
      <w:r w:rsidRPr="005C6D34">
        <w:rPr>
          <w:rFonts w:eastAsia="Georgia" w:cstheme="minorHAnsi"/>
          <w:sz w:val="24"/>
          <w:szCs w:val="24"/>
        </w:rPr>
        <w:t xml:space="preserve">77: 102476 </w:t>
      </w:r>
    </w:p>
    <w:p w14:paraId="4BE551C0" w14:textId="77777777" w:rsidR="00DE6F8C" w:rsidRPr="005C6D34" w:rsidRDefault="00DE6F8C" w:rsidP="004453A9">
      <w:pPr>
        <w:spacing w:before="240" w:after="0" w:line="240" w:lineRule="auto"/>
        <w:ind w:left="720" w:hanging="720"/>
        <w:rPr>
          <w:rFonts w:cstheme="minorHAnsi"/>
          <w:sz w:val="24"/>
          <w:szCs w:val="24"/>
        </w:rPr>
      </w:pPr>
      <w:r w:rsidRPr="005C6D34">
        <w:rPr>
          <w:rFonts w:eastAsia="Georgia" w:cstheme="minorHAnsi"/>
          <w:sz w:val="24"/>
          <w:szCs w:val="24"/>
        </w:rPr>
        <w:t xml:space="preserve">Xenos, M., </w:t>
      </w:r>
      <w:proofErr w:type="spellStart"/>
      <w:r w:rsidRPr="005C6D34">
        <w:rPr>
          <w:rFonts w:eastAsia="Georgia" w:cstheme="minorHAnsi"/>
          <w:sz w:val="24"/>
          <w:szCs w:val="24"/>
        </w:rPr>
        <w:t>Vromen</w:t>
      </w:r>
      <w:proofErr w:type="spellEnd"/>
      <w:r w:rsidRPr="005C6D34">
        <w:rPr>
          <w:rFonts w:eastAsia="Georgia" w:cstheme="minorHAnsi"/>
          <w:sz w:val="24"/>
          <w:szCs w:val="24"/>
        </w:rPr>
        <w:t xml:space="preserve">, A., &amp; Loader, B.D (2014) The great equaliser? Patterns of social media use and youth political engagement in three advanced democracies. </w:t>
      </w:r>
      <w:r w:rsidRPr="005C6D34">
        <w:rPr>
          <w:rFonts w:eastAsia="Georgia" w:cstheme="minorHAnsi"/>
          <w:i/>
          <w:iCs/>
          <w:sz w:val="24"/>
          <w:szCs w:val="24"/>
        </w:rPr>
        <w:t>Information, Communication &amp; Society</w:t>
      </w:r>
      <w:r w:rsidRPr="005C6D34">
        <w:rPr>
          <w:rFonts w:eastAsia="Georgia" w:cstheme="minorHAnsi"/>
          <w:sz w:val="24"/>
          <w:szCs w:val="24"/>
        </w:rPr>
        <w:t xml:space="preserve">, 17(2), 151-167, DOI: 10.1080/1369118X.2013.871318 </w:t>
      </w:r>
    </w:p>
    <w:p w14:paraId="23443045" w14:textId="31B93AE4" w:rsidR="00DE6F8C" w:rsidRPr="00577C63" w:rsidRDefault="00DE6F8C" w:rsidP="004453A9">
      <w:pPr>
        <w:spacing w:before="240" w:after="0" w:line="240" w:lineRule="auto"/>
        <w:ind w:left="720" w:hanging="720"/>
        <w:rPr>
          <w:rFonts w:eastAsia="Georgia" w:cstheme="minorHAnsi"/>
          <w:color w:val="0000FF" w:themeColor="hyperlink"/>
          <w:sz w:val="24"/>
          <w:szCs w:val="24"/>
          <w:u w:val="single"/>
        </w:rPr>
      </w:pPr>
      <w:r w:rsidRPr="005C6D34">
        <w:rPr>
          <w:rFonts w:eastAsia="Georgia" w:cstheme="minorHAnsi"/>
          <w:sz w:val="24"/>
          <w:szCs w:val="24"/>
        </w:rPr>
        <w:t xml:space="preserve">Yoon, </w:t>
      </w:r>
      <w:proofErr w:type="spellStart"/>
      <w:r w:rsidRPr="005C6D34">
        <w:rPr>
          <w:rFonts w:eastAsia="Georgia" w:cstheme="minorHAnsi"/>
          <w:sz w:val="24"/>
          <w:szCs w:val="24"/>
        </w:rPr>
        <w:t>Hee</w:t>
      </w:r>
      <w:proofErr w:type="spellEnd"/>
      <w:r w:rsidRPr="005C6D34">
        <w:rPr>
          <w:rFonts w:eastAsia="Georgia" w:cstheme="minorHAnsi"/>
          <w:sz w:val="24"/>
          <w:szCs w:val="24"/>
        </w:rPr>
        <w:t xml:space="preserve"> Yup (2017) The impact of socio-economic factors on voter turnout in the Republic of Korea: Empirical research for the results of 18th and 19th presidential elections. </w:t>
      </w:r>
      <w:r w:rsidRPr="005C6D34">
        <w:rPr>
          <w:rFonts w:eastAsia="Georgia" w:cstheme="minorHAnsi"/>
          <w:i/>
          <w:iCs/>
          <w:sz w:val="24"/>
          <w:szCs w:val="24"/>
        </w:rPr>
        <w:t>MPA/MPP/MPFM Capstone Projects</w:t>
      </w:r>
      <w:r w:rsidRPr="005C6D34">
        <w:rPr>
          <w:rFonts w:eastAsia="Georgia" w:cstheme="minorHAnsi"/>
          <w:sz w:val="24"/>
          <w:szCs w:val="24"/>
        </w:rPr>
        <w:t xml:space="preserve">. 297. </w:t>
      </w:r>
      <w:hyperlink r:id="rId29">
        <w:r w:rsidRPr="005C6D34">
          <w:rPr>
            <w:rStyle w:val="Hyperlink"/>
            <w:rFonts w:eastAsia="Georgia" w:cstheme="minorHAnsi"/>
            <w:sz w:val="24"/>
            <w:szCs w:val="24"/>
          </w:rPr>
          <w:t>https://uknowledge.uky.edu/mpampp_etds/297</w:t>
        </w:r>
      </w:hyperlink>
    </w:p>
    <w:sectPr w:rsidR="00DE6F8C" w:rsidRPr="00577C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5CF9B" w14:textId="77777777" w:rsidR="00F85FB7" w:rsidRDefault="00F85FB7" w:rsidP="00D96A75">
      <w:pPr>
        <w:spacing w:after="0" w:line="240" w:lineRule="auto"/>
      </w:pPr>
      <w:r>
        <w:separator/>
      </w:r>
    </w:p>
  </w:endnote>
  <w:endnote w:type="continuationSeparator" w:id="0">
    <w:p w14:paraId="43294115" w14:textId="77777777" w:rsidR="00F85FB7" w:rsidRDefault="00F85FB7" w:rsidP="00D96A75">
      <w:pPr>
        <w:spacing w:after="0" w:line="240" w:lineRule="auto"/>
      </w:pPr>
      <w:r>
        <w:continuationSeparator/>
      </w:r>
    </w:p>
  </w:endnote>
  <w:endnote w:type="continuationNotice" w:id="1">
    <w:p w14:paraId="00CA4684" w14:textId="77777777" w:rsidR="00F85FB7" w:rsidRDefault="00F85F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81D42" w14:textId="77777777" w:rsidR="00F85FB7" w:rsidRDefault="00F85FB7" w:rsidP="00D96A75">
      <w:pPr>
        <w:spacing w:after="0" w:line="240" w:lineRule="auto"/>
      </w:pPr>
      <w:r>
        <w:separator/>
      </w:r>
    </w:p>
  </w:footnote>
  <w:footnote w:type="continuationSeparator" w:id="0">
    <w:p w14:paraId="23BA8D68" w14:textId="77777777" w:rsidR="00F85FB7" w:rsidRDefault="00F85FB7" w:rsidP="00D96A75">
      <w:pPr>
        <w:spacing w:after="0" w:line="240" w:lineRule="auto"/>
      </w:pPr>
      <w:r>
        <w:continuationSeparator/>
      </w:r>
    </w:p>
  </w:footnote>
  <w:footnote w:type="continuationNotice" w:id="1">
    <w:p w14:paraId="22408A17" w14:textId="77777777" w:rsidR="00F85FB7" w:rsidRDefault="00F85FB7">
      <w:pPr>
        <w:spacing w:after="0" w:line="240" w:lineRule="auto"/>
      </w:pPr>
    </w:p>
  </w:footnote>
  <w:footnote w:id="2">
    <w:p w14:paraId="4BE4877E" w14:textId="653CD014" w:rsidR="00194097" w:rsidRDefault="00194097" w:rsidP="00194097">
      <w:pPr>
        <w:pStyle w:val="FootnoteText"/>
      </w:pPr>
      <w:r>
        <w:rPr>
          <w:rStyle w:val="FootnoteReference"/>
        </w:rPr>
        <w:footnoteRef/>
      </w:r>
      <w:r>
        <w:t xml:space="preserve"> Corresponding Author: </w:t>
      </w:r>
      <w:r w:rsidR="00E313A4">
        <w:t>Nasir Aminu, PhD.</w:t>
      </w:r>
      <w:r w:rsidR="00FE6055">
        <w:t>,</w:t>
      </w:r>
      <w:r w:rsidR="00E313A4">
        <w:t xml:space="preserve"> </w:t>
      </w:r>
      <w:r w:rsidR="00FE6055">
        <w:t xml:space="preserve">SFHEA. School </w:t>
      </w:r>
      <w:r w:rsidR="0082616D">
        <w:t>Research Ethics Coordinator</w:t>
      </w:r>
      <w:r w:rsidR="001F3AFC">
        <w:t xml:space="preserve">. </w:t>
      </w:r>
      <w:r w:rsidRPr="00A96779">
        <w:t xml:space="preserve">Cardiff School of Management, Cardiff </w:t>
      </w:r>
      <w:r>
        <w:t xml:space="preserve">Metropolitan University. 200 Western Avenue, Llandaff Campus, Cardiff, United Kingdom. CF5 2YB. </w:t>
      </w:r>
      <w:r w:rsidRPr="00D067C6">
        <w:t xml:space="preserve">Email: </w:t>
      </w:r>
      <w:r>
        <w:t>NAminu</w:t>
      </w:r>
      <w:r w:rsidRPr="00D067C6">
        <w:t>@cardiffmet.ac.uk</w:t>
      </w:r>
      <w:r>
        <w:t xml:space="preserve"> </w:t>
      </w:r>
      <w:r w:rsidR="009441D5">
        <w:t>ORCID ID: 0000-0001-9698-2157</w:t>
      </w:r>
    </w:p>
  </w:footnote>
  <w:footnote w:id="3">
    <w:p w14:paraId="192ECF88" w14:textId="77777777" w:rsidR="00194097" w:rsidRDefault="00194097" w:rsidP="00194097">
      <w:pPr>
        <w:pStyle w:val="FootnoteText"/>
      </w:pPr>
      <w:r>
        <w:rPr>
          <w:rStyle w:val="FootnoteReference"/>
        </w:rPr>
        <w:footnoteRef/>
      </w:r>
      <w:r>
        <w:t xml:space="preserve"> </w:t>
      </w:r>
      <w:r w:rsidRPr="007B58D9">
        <w:t xml:space="preserve">Olalekan </w:t>
      </w:r>
      <w:proofErr w:type="spellStart"/>
      <w:r w:rsidRPr="007B58D9">
        <w:t>Waheed</w:t>
      </w:r>
      <w:proofErr w:type="spellEnd"/>
      <w:r w:rsidRPr="007B58D9">
        <w:t xml:space="preserve"> Adigun, Department of Political Science, Nnamdi Azikiwe University, </w:t>
      </w:r>
      <w:proofErr w:type="spellStart"/>
      <w:r w:rsidRPr="007B58D9">
        <w:t>Awka</w:t>
      </w:r>
      <w:proofErr w:type="spellEnd"/>
      <w:r w:rsidRPr="007B58D9">
        <w:t>, E-mail: adgorwell@gmail.com</w:t>
      </w:r>
    </w:p>
  </w:footnote>
  <w:footnote w:id="4">
    <w:p w14:paraId="4622BCD9" w14:textId="5288A02D" w:rsidR="00A40F72" w:rsidRDefault="00A40F72">
      <w:pPr>
        <w:pStyle w:val="FootnoteText"/>
      </w:pPr>
      <w:r>
        <w:rPr>
          <w:rStyle w:val="FootnoteReference"/>
        </w:rPr>
        <w:footnoteRef/>
      </w:r>
      <w:r>
        <w:t xml:space="preserve"> We have used internet connection and internet usage interchangeably to suit the discussion and clarify key points.</w:t>
      </w:r>
    </w:p>
  </w:footnote>
  <w:footnote w:id="5">
    <w:p w14:paraId="1E8DDD0F" w14:textId="7633050B" w:rsidR="00C01F2B" w:rsidRDefault="00C01F2B">
      <w:pPr>
        <w:pStyle w:val="FootnoteText"/>
      </w:pPr>
      <w:r>
        <w:rPr>
          <w:rStyle w:val="FootnoteReference"/>
        </w:rPr>
        <w:footnoteRef/>
      </w:r>
      <w:r>
        <w:t xml:space="preserve"> </w:t>
      </w:r>
      <w:r w:rsidR="00CC72E6">
        <w:t>The voter registration for the 2023 election was closed on 31</w:t>
      </w:r>
      <w:r w:rsidR="00DD1559">
        <w:t xml:space="preserve"> July 2022. We used INEC’s published reports for the </w:t>
      </w:r>
      <w:r w:rsidR="00B70316">
        <w:t>registered voters</w:t>
      </w:r>
      <w:r w:rsidR="00DF136E">
        <w:t xml:space="preserve"> of 1 August 2022. </w:t>
      </w:r>
      <w:r w:rsidR="005B62B7">
        <w:t>We take into account that the</w:t>
      </w:r>
      <w:r w:rsidR="008B0B70">
        <w:t xml:space="preserve"> number </w:t>
      </w:r>
      <w:r w:rsidR="00477175">
        <w:t>of</w:t>
      </w:r>
      <w:r w:rsidR="008B0B70">
        <w:t xml:space="preserve"> registered voters is subject to verification, but </w:t>
      </w:r>
      <w:r w:rsidR="005B62B7">
        <w:t>we assume the numbers will not be significantly different</w:t>
      </w:r>
      <w:r w:rsidR="00477175">
        <w:t>.</w:t>
      </w:r>
    </w:p>
  </w:footnote>
  <w:footnote w:id="6">
    <w:p w14:paraId="2C4530A6" w14:textId="77777777" w:rsidR="00087427" w:rsidRPr="005A56CD" w:rsidRDefault="00087427" w:rsidP="007518CB">
      <w:pPr>
        <w:pStyle w:val="FootnoteText"/>
        <w:rPr>
          <w:rFonts w:ascii="Georgia" w:hAnsi="Georgia" w:cstheme="minorHAnsi"/>
        </w:rPr>
      </w:pPr>
      <w:r w:rsidRPr="005A56CD">
        <w:rPr>
          <w:rStyle w:val="FootnoteReference"/>
          <w:rFonts w:ascii="Georgia" w:hAnsi="Georgia"/>
        </w:rPr>
        <w:footnoteRef/>
      </w:r>
      <w:r w:rsidRPr="005A56CD">
        <w:rPr>
          <w:rFonts w:ascii="Georgia" w:hAnsi="Georgia"/>
        </w:rPr>
        <w:t xml:space="preserve"> </w:t>
      </w:r>
      <w:r w:rsidRPr="005A56CD">
        <w:rPr>
          <w:rFonts w:ascii="Georgia" w:hAnsi="Georgia" w:cstheme="minorHAnsi"/>
        </w:rPr>
        <w:t>Sections 47 and 50(2) of the Electoral Act, 2022.</w:t>
      </w:r>
    </w:p>
  </w:footnote>
  <w:footnote w:id="7">
    <w:p w14:paraId="756817B5" w14:textId="77777777" w:rsidR="00087427" w:rsidRPr="005A56CD" w:rsidRDefault="00087427" w:rsidP="007518CB">
      <w:pPr>
        <w:pStyle w:val="FootnoteText"/>
        <w:rPr>
          <w:rFonts w:ascii="Georgia" w:hAnsi="Georgia"/>
        </w:rPr>
      </w:pPr>
      <w:r w:rsidRPr="005A56CD">
        <w:rPr>
          <w:rStyle w:val="FootnoteReference"/>
          <w:rFonts w:ascii="Georgia" w:hAnsi="Georgia"/>
        </w:rPr>
        <w:footnoteRef/>
      </w:r>
      <w:r w:rsidRPr="005A56CD">
        <w:rPr>
          <w:rFonts w:ascii="Georgia" w:hAnsi="Georgia"/>
        </w:rPr>
        <w:t xml:space="preserve"> </w:t>
      </w:r>
      <w:r w:rsidRPr="005A56CD">
        <w:rPr>
          <w:rFonts w:ascii="Georgia" w:hAnsi="Georgia" w:cstheme="minorHAnsi"/>
        </w:rPr>
        <w:t>Section 62(2) of the Electoral Act, 2022.</w:t>
      </w:r>
    </w:p>
  </w:footnote>
  <w:footnote w:id="8">
    <w:p w14:paraId="1EAC33D3" w14:textId="77777777" w:rsidR="00087427" w:rsidRPr="005A56CD" w:rsidRDefault="00087427" w:rsidP="007518CB">
      <w:pPr>
        <w:pStyle w:val="FootnoteText"/>
        <w:rPr>
          <w:rFonts w:ascii="Georgia" w:hAnsi="Georgia"/>
        </w:rPr>
      </w:pPr>
      <w:r w:rsidRPr="005A56CD">
        <w:rPr>
          <w:rStyle w:val="FootnoteReference"/>
          <w:rFonts w:ascii="Georgia" w:hAnsi="Georgia"/>
        </w:rPr>
        <w:footnoteRef/>
      </w:r>
      <w:r w:rsidRPr="005A56CD">
        <w:rPr>
          <w:rFonts w:ascii="Georgia" w:hAnsi="Georgia"/>
        </w:rPr>
        <w:t xml:space="preserve"> </w:t>
      </w:r>
      <w:r w:rsidRPr="005A56CD">
        <w:rPr>
          <w:rFonts w:ascii="Georgia" w:hAnsi="Georgia" w:cstheme="minorHAnsi"/>
        </w:rPr>
        <w:t>Section 51 Electoral Act, 2022.</w:t>
      </w:r>
    </w:p>
  </w:footnote>
  <w:footnote w:id="9">
    <w:p w14:paraId="4F4CE471" w14:textId="77777777" w:rsidR="00087427" w:rsidRPr="005A56CD" w:rsidRDefault="00087427" w:rsidP="007518CB">
      <w:pPr>
        <w:pStyle w:val="FootnoteText"/>
        <w:rPr>
          <w:rFonts w:ascii="Georgia" w:hAnsi="Georgia"/>
        </w:rPr>
      </w:pPr>
      <w:r w:rsidRPr="005A56CD">
        <w:rPr>
          <w:rStyle w:val="FootnoteReference"/>
          <w:rFonts w:ascii="Georgia" w:hAnsi="Georgia"/>
        </w:rPr>
        <w:footnoteRef/>
      </w:r>
      <w:r w:rsidRPr="005A56CD">
        <w:rPr>
          <w:rFonts w:ascii="Georgia" w:hAnsi="Georgia"/>
        </w:rPr>
        <w:t xml:space="preserve"> </w:t>
      </w:r>
      <w:r w:rsidRPr="005A56CD">
        <w:rPr>
          <w:rFonts w:ascii="Georgia" w:hAnsi="Georgia" w:cstheme="minorHAnsi"/>
        </w:rPr>
        <w:t>Section 54 of the Electoral Act, 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8402F"/>
    <w:multiLevelType w:val="hybridMultilevel"/>
    <w:tmpl w:val="E770582A"/>
    <w:lvl w:ilvl="0" w:tplc="CFF0BE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344C82"/>
    <w:multiLevelType w:val="multilevel"/>
    <w:tmpl w:val="5E8A300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BC2F24"/>
    <w:multiLevelType w:val="hybridMultilevel"/>
    <w:tmpl w:val="752A313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B894094"/>
    <w:multiLevelType w:val="hybridMultilevel"/>
    <w:tmpl w:val="7A26A1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C27936"/>
    <w:multiLevelType w:val="hybridMultilevel"/>
    <w:tmpl w:val="A2AC12EE"/>
    <w:lvl w:ilvl="0" w:tplc="08090019">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4A5849C8"/>
    <w:multiLevelType w:val="hybridMultilevel"/>
    <w:tmpl w:val="B074FC4A"/>
    <w:lvl w:ilvl="0" w:tplc="2AB4C53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A6839DC"/>
    <w:multiLevelType w:val="hybridMultilevel"/>
    <w:tmpl w:val="D4D0E4F8"/>
    <w:lvl w:ilvl="0" w:tplc="F2B6B22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14F0A45"/>
    <w:multiLevelType w:val="hybridMultilevel"/>
    <w:tmpl w:val="4FE459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566366F"/>
    <w:multiLevelType w:val="hybridMultilevel"/>
    <w:tmpl w:val="19124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11343126">
    <w:abstractNumId w:val="0"/>
  </w:num>
  <w:num w:numId="2" w16cid:durableId="94907191">
    <w:abstractNumId w:val="6"/>
  </w:num>
  <w:num w:numId="3" w16cid:durableId="1077870870">
    <w:abstractNumId w:val="5"/>
  </w:num>
  <w:num w:numId="4" w16cid:durableId="16553306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2484613">
    <w:abstractNumId w:val="1"/>
  </w:num>
  <w:num w:numId="6" w16cid:durableId="868682248">
    <w:abstractNumId w:val="4"/>
  </w:num>
  <w:num w:numId="7" w16cid:durableId="1818570991">
    <w:abstractNumId w:val="2"/>
  </w:num>
  <w:num w:numId="8" w16cid:durableId="1442872099">
    <w:abstractNumId w:val="8"/>
  </w:num>
  <w:num w:numId="9" w16cid:durableId="1588341093">
    <w:abstractNumId w:val="7"/>
  </w:num>
  <w:num w:numId="10" w16cid:durableId="17784029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wMLM0tTAwMjAxtzBR0lEKTi0uzszPAykwNqwFAOfB900tAAAA"/>
  </w:docVars>
  <w:rsids>
    <w:rsidRoot w:val="00D96A75"/>
    <w:rsid w:val="00001591"/>
    <w:rsid w:val="000025FA"/>
    <w:rsid w:val="00002CB6"/>
    <w:rsid w:val="000067BE"/>
    <w:rsid w:val="0000746B"/>
    <w:rsid w:val="0000771C"/>
    <w:rsid w:val="00011BCB"/>
    <w:rsid w:val="0001604D"/>
    <w:rsid w:val="00017E49"/>
    <w:rsid w:val="000200F3"/>
    <w:rsid w:val="00021A7C"/>
    <w:rsid w:val="0002460E"/>
    <w:rsid w:val="000317BF"/>
    <w:rsid w:val="00032CDF"/>
    <w:rsid w:val="00037C02"/>
    <w:rsid w:val="00041DD7"/>
    <w:rsid w:val="0004362F"/>
    <w:rsid w:val="00043957"/>
    <w:rsid w:val="00044B2E"/>
    <w:rsid w:val="00050180"/>
    <w:rsid w:val="000507E5"/>
    <w:rsid w:val="00053315"/>
    <w:rsid w:val="00056830"/>
    <w:rsid w:val="00056862"/>
    <w:rsid w:val="00056AC8"/>
    <w:rsid w:val="000602FD"/>
    <w:rsid w:val="00060666"/>
    <w:rsid w:val="000616A7"/>
    <w:rsid w:val="000625A2"/>
    <w:rsid w:val="00062D67"/>
    <w:rsid w:val="00066DAA"/>
    <w:rsid w:val="000676ED"/>
    <w:rsid w:val="0007010E"/>
    <w:rsid w:val="000711BB"/>
    <w:rsid w:val="00072895"/>
    <w:rsid w:val="0007488F"/>
    <w:rsid w:val="00074E94"/>
    <w:rsid w:val="00077314"/>
    <w:rsid w:val="0008119F"/>
    <w:rsid w:val="00084A1A"/>
    <w:rsid w:val="00087427"/>
    <w:rsid w:val="00087799"/>
    <w:rsid w:val="00092581"/>
    <w:rsid w:val="00094A93"/>
    <w:rsid w:val="000962A3"/>
    <w:rsid w:val="0009653B"/>
    <w:rsid w:val="000A2A43"/>
    <w:rsid w:val="000A3723"/>
    <w:rsid w:val="000A687F"/>
    <w:rsid w:val="000B0C04"/>
    <w:rsid w:val="000B20EA"/>
    <w:rsid w:val="000B3531"/>
    <w:rsid w:val="000C5F17"/>
    <w:rsid w:val="000C7197"/>
    <w:rsid w:val="000C7786"/>
    <w:rsid w:val="000E1778"/>
    <w:rsid w:val="000E2544"/>
    <w:rsid w:val="000E3407"/>
    <w:rsid w:val="000E3D04"/>
    <w:rsid w:val="000E567B"/>
    <w:rsid w:val="000F2F81"/>
    <w:rsid w:val="000F7AE8"/>
    <w:rsid w:val="00100D39"/>
    <w:rsid w:val="0010111E"/>
    <w:rsid w:val="00101A40"/>
    <w:rsid w:val="00110A71"/>
    <w:rsid w:val="00113069"/>
    <w:rsid w:val="00113EEA"/>
    <w:rsid w:val="00113F63"/>
    <w:rsid w:val="00114913"/>
    <w:rsid w:val="0012164C"/>
    <w:rsid w:val="0012512D"/>
    <w:rsid w:val="00125F80"/>
    <w:rsid w:val="00127018"/>
    <w:rsid w:val="0013266C"/>
    <w:rsid w:val="001359D0"/>
    <w:rsid w:val="00137C0F"/>
    <w:rsid w:val="001538E7"/>
    <w:rsid w:val="00153C37"/>
    <w:rsid w:val="001617DF"/>
    <w:rsid w:val="001666AF"/>
    <w:rsid w:val="00166FF7"/>
    <w:rsid w:val="00167FA2"/>
    <w:rsid w:val="001718A2"/>
    <w:rsid w:val="00174162"/>
    <w:rsid w:val="00174671"/>
    <w:rsid w:val="0017562E"/>
    <w:rsid w:val="00180112"/>
    <w:rsid w:val="00182845"/>
    <w:rsid w:val="00184D9E"/>
    <w:rsid w:val="00186795"/>
    <w:rsid w:val="00187979"/>
    <w:rsid w:val="00187AB3"/>
    <w:rsid w:val="00192FBE"/>
    <w:rsid w:val="00193AA3"/>
    <w:rsid w:val="00194097"/>
    <w:rsid w:val="00195E5F"/>
    <w:rsid w:val="00195EA4"/>
    <w:rsid w:val="00196DD5"/>
    <w:rsid w:val="0019719B"/>
    <w:rsid w:val="001A05C8"/>
    <w:rsid w:val="001A44DA"/>
    <w:rsid w:val="001A5CE6"/>
    <w:rsid w:val="001B0626"/>
    <w:rsid w:val="001B531B"/>
    <w:rsid w:val="001B7F20"/>
    <w:rsid w:val="001C5C23"/>
    <w:rsid w:val="001C5C62"/>
    <w:rsid w:val="001D0C42"/>
    <w:rsid w:val="001D1889"/>
    <w:rsid w:val="001D3DD8"/>
    <w:rsid w:val="001D4084"/>
    <w:rsid w:val="001D5E59"/>
    <w:rsid w:val="001D75D8"/>
    <w:rsid w:val="001E11B9"/>
    <w:rsid w:val="001E18B7"/>
    <w:rsid w:val="001E2324"/>
    <w:rsid w:val="001E552A"/>
    <w:rsid w:val="001E764D"/>
    <w:rsid w:val="001F2D1A"/>
    <w:rsid w:val="001F3AFC"/>
    <w:rsid w:val="001F51DE"/>
    <w:rsid w:val="00200DC0"/>
    <w:rsid w:val="00200E5E"/>
    <w:rsid w:val="002011F8"/>
    <w:rsid w:val="00203AE8"/>
    <w:rsid w:val="0021146B"/>
    <w:rsid w:val="002124BF"/>
    <w:rsid w:val="002140C6"/>
    <w:rsid w:val="00214F03"/>
    <w:rsid w:val="002218C5"/>
    <w:rsid w:val="00222366"/>
    <w:rsid w:val="00223907"/>
    <w:rsid w:val="0023086B"/>
    <w:rsid w:val="00232587"/>
    <w:rsid w:val="00232E62"/>
    <w:rsid w:val="002373A0"/>
    <w:rsid w:val="00237BE4"/>
    <w:rsid w:val="002410D1"/>
    <w:rsid w:val="00242CEC"/>
    <w:rsid w:val="00245697"/>
    <w:rsid w:val="00246C65"/>
    <w:rsid w:val="0025290C"/>
    <w:rsid w:val="00254580"/>
    <w:rsid w:val="00257D2D"/>
    <w:rsid w:val="002610DF"/>
    <w:rsid w:val="002613D4"/>
    <w:rsid w:val="002635FB"/>
    <w:rsid w:val="00265C04"/>
    <w:rsid w:val="0026601D"/>
    <w:rsid w:val="00270053"/>
    <w:rsid w:val="00274FED"/>
    <w:rsid w:val="00281AEA"/>
    <w:rsid w:val="00283B8E"/>
    <w:rsid w:val="00283DA3"/>
    <w:rsid w:val="00290072"/>
    <w:rsid w:val="00290694"/>
    <w:rsid w:val="00290E30"/>
    <w:rsid w:val="0029396B"/>
    <w:rsid w:val="002954CA"/>
    <w:rsid w:val="00295F1A"/>
    <w:rsid w:val="00296D7A"/>
    <w:rsid w:val="002A2430"/>
    <w:rsid w:val="002A2793"/>
    <w:rsid w:val="002A2E0E"/>
    <w:rsid w:val="002A4537"/>
    <w:rsid w:val="002A4C72"/>
    <w:rsid w:val="002A5430"/>
    <w:rsid w:val="002A5E43"/>
    <w:rsid w:val="002B0080"/>
    <w:rsid w:val="002B492B"/>
    <w:rsid w:val="002B4CC4"/>
    <w:rsid w:val="002B510C"/>
    <w:rsid w:val="002B64DD"/>
    <w:rsid w:val="002B7EB0"/>
    <w:rsid w:val="002C1830"/>
    <w:rsid w:val="002C3F0B"/>
    <w:rsid w:val="002C3FDC"/>
    <w:rsid w:val="002C6667"/>
    <w:rsid w:val="002D0724"/>
    <w:rsid w:val="002D5248"/>
    <w:rsid w:val="002D5B2D"/>
    <w:rsid w:val="002E285E"/>
    <w:rsid w:val="002E3D20"/>
    <w:rsid w:val="002E5044"/>
    <w:rsid w:val="002E5557"/>
    <w:rsid w:val="002E73AE"/>
    <w:rsid w:val="002F09EF"/>
    <w:rsid w:val="002F369E"/>
    <w:rsid w:val="002F42E1"/>
    <w:rsid w:val="002F488D"/>
    <w:rsid w:val="002F4A3D"/>
    <w:rsid w:val="002F6B7C"/>
    <w:rsid w:val="002F6CC6"/>
    <w:rsid w:val="003019EC"/>
    <w:rsid w:val="00301DFC"/>
    <w:rsid w:val="00304296"/>
    <w:rsid w:val="00315782"/>
    <w:rsid w:val="00317F40"/>
    <w:rsid w:val="003203F1"/>
    <w:rsid w:val="00322B40"/>
    <w:rsid w:val="00322C13"/>
    <w:rsid w:val="003263A0"/>
    <w:rsid w:val="00327C40"/>
    <w:rsid w:val="0033237F"/>
    <w:rsid w:val="00335C27"/>
    <w:rsid w:val="00335F22"/>
    <w:rsid w:val="0033772E"/>
    <w:rsid w:val="003402AB"/>
    <w:rsid w:val="00343D5E"/>
    <w:rsid w:val="003462C6"/>
    <w:rsid w:val="00351044"/>
    <w:rsid w:val="00353107"/>
    <w:rsid w:val="0035508C"/>
    <w:rsid w:val="003555C6"/>
    <w:rsid w:val="0036133C"/>
    <w:rsid w:val="00361913"/>
    <w:rsid w:val="0036314E"/>
    <w:rsid w:val="00365F93"/>
    <w:rsid w:val="00370D34"/>
    <w:rsid w:val="003728E7"/>
    <w:rsid w:val="00375B74"/>
    <w:rsid w:val="00381143"/>
    <w:rsid w:val="0038313B"/>
    <w:rsid w:val="00383BAC"/>
    <w:rsid w:val="0038452E"/>
    <w:rsid w:val="003904CB"/>
    <w:rsid w:val="00391211"/>
    <w:rsid w:val="00392795"/>
    <w:rsid w:val="00392E18"/>
    <w:rsid w:val="00392E47"/>
    <w:rsid w:val="0039359B"/>
    <w:rsid w:val="003936D0"/>
    <w:rsid w:val="00395AB5"/>
    <w:rsid w:val="00396080"/>
    <w:rsid w:val="003979BD"/>
    <w:rsid w:val="003A0175"/>
    <w:rsid w:val="003A0325"/>
    <w:rsid w:val="003A09E2"/>
    <w:rsid w:val="003A15E9"/>
    <w:rsid w:val="003A2D73"/>
    <w:rsid w:val="003A31E7"/>
    <w:rsid w:val="003A53CC"/>
    <w:rsid w:val="003A6ABB"/>
    <w:rsid w:val="003A77CB"/>
    <w:rsid w:val="003B13C6"/>
    <w:rsid w:val="003B252B"/>
    <w:rsid w:val="003B2F83"/>
    <w:rsid w:val="003B68FE"/>
    <w:rsid w:val="003C1720"/>
    <w:rsid w:val="003C29F7"/>
    <w:rsid w:val="003C7623"/>
    <w:rsid w:val="003D1010"/>
    <w:rsid w:val="003D4740"/>
    <w:rsid w:val="003D4846"/>
    <w:rsid w:val="003D6585"/>
    <w:rsid w:val="003E395A"/>
    <w:rsid w:val="003E3C35"/>
    <w:rsid w:val="003E518A"/>
    <w:rsid w:val="003E681E"/>
    <w:rsid w:val="003F105F"/>
    <w:rsid w:val="003F2178"/>
    <w:rsid w:val="003F2C61"/>
    <w:rsid w:val="003F35CB"/>
    <w:rsid w:val="003F571B"/>
    <w:rsid w:val="003F5760"/>
    <w:rsid w:val="00400681"/>
    <w:rsid w:val="00401EA2"/>
    <w:rsid w:val="0040312B"/>
    <w:rsid w:val="004041BA"/>
    <w:rsid w:val="00404BAF"/>
    <w:rsid w:val="00405191"/>
    <w:rsid w:val="0040542C"/>
    <w:rsid w:val="00407AF2"/>
    <w:rsid w:val="00410A62"/>
    <w:rsid w:val="0042098A"/>
    <w:rsid w:val="004212A2"/>
    <w:rsid w:val="004276D5"/>
    <w:rsid w:val="00427932"/>
    <w:rsid w:val="004279D9"/>
    <w:rsid w:val="004315C6"/>
    <w:rsid w:val="004343EB"/>
    <w:rsid w:val="00434B54"/>
    <w:rsid w:val="004363FE"/>
    <w:rsid w:val="00440707"/>
    <w:rsid w:val="004429F7"/>
    <w:rsid w:val="004445D3"/>
    <w:rsid w:val="004453A9"/>
    <w:rsid w:val="00446FC6"/>
    <w:rsid w:val="00452D80"/>
    <w:rsid w:val="00452F36"/>
    <w:rsid w:val="00453D47"/>
    <w:rsid w:val="0045674E"/>
    <w:rsid w:val="00460081"/>
    <w:rsid w:val="00460570"/>
    <w:rsid w:val="00460BC6"/>
    <w:rsid w:val="004623CE"/>
    <w:rsid w:val="00463020"/>
    <w:rsid w:val="0046591F"/>
    <w:rsid w:val="00467839"/>
    <w:rsid w:val="0047160C"/>
    <w:rsid w:val="00472BF3"/>
    <w:rsid w:val="00473C7E"/>
    <w:rsid w:val="00476632"/>
    <w:rsid w:val="00477175"/>
    <w:rsid w:val="00483AD7"/>
    <w:rsid w:val="00484375"/>
    <w:rsid w:val="00484CB3"/>
    <w:rsid w:val="00485996"/>
    <w:rsid w:val="0048630D"/>
    <w:rsid w:val="004906FF"/>
    <w:rsid w:val="004907DE"/>
    <w:rsid w:val="00491600"/>
    <w:rsid w:val="004923A9"/>
    <w:rsid w:val="00492C55"/>
    <w:rsid w:val="00493695"/>
    <w:rsid w:val="00495CC3"/>
    <w:rsid w:val="004A10C8"/>
    <w:rsid w:val="004A1C93"/>
    <w:rsid w:val="004A3EA3"/>
    <w:rsid w:val="004A5116"/>
    <w:rsid w:val="004B3D8E"/>
    <w:rsid w:val="004B40B8"/>
    <w:rsid w:val="004B5A5E"/>
    <w:rsid w:val="004B7D4A"/>
    <w:rsid w:val="004C221C"/>
    <w:rsid w:val="004C4506"/>
    <w:rsid w:val="004C5091"/>
    <w:rsid w:val="004D2078"/>
    <w:rsid w:val="004D2280"/>
    <w:rsid w:val="004D3BC3"/>
    <w:rsid w:val="004D4C3B"/>
    <w:rsid w:val="004D7B77"/>
    <w:rsid w:val="004E2AAA"/>
    <w:rsid w:val="004E67A9"/>
    <w:rsid w:val="004E7D6B"/>
    <w:rsid w:val="004F075C"/>
    <w:rsid w:val="004F16EE"/>
    <w:rsid w:val="004F4232"/>
    <w:rsid w:val="00504652"/>
    <w:rsid w:val="00505DB5"/>
    <w:rsid w:val="00507A1D"/>
    <w:rsid w:val="00511EF9"/>
    <w:rsid w:val="00512DDC"/>
    <w:rsid w:val="0051443A"/>
    <w:rsid w:val="00514872"/>
    <w:rsid w:val="005172BF"/>
    <w:rsid w:val="00533568"/>
    <w:rsid w:val="00540C1B"/>
    <w:rsid w:val="005423E6"/>
    <w:rsid w:val="0054526A"/>
    <w:rsid w:val="00545FAB"/>
    <w:rsid w:val="00546196"/>
    <w:rsid w:val="00547C67"/>
    <w:rsid w:val="0055094F"/>
    <w:rsid w:val="005529B1"/>
    <w:rsid w:val="00560ABF"/>
    <w:rsid w:val="00561D13"/>
    <w:rsid w:val="005630D7"/>
    <w:rsid w:val="00564FA2"/>
    <w:rsid w:val="00565E3E"/>
    <w:rsid w:val="00570123"/>
    <w:rsid w:val="00570890"/>
    <w:rsid w:val="0057278F"/>
    <w:rsid w:val="00575B00"/>
    <w:rsid w:val="00576F3A"/>
    <w:rsid w:val="00577C63"/>
    <w:rsid w:val="005826CC"/>
    <w:rsid w:val="0058440A"/>
    <w:rsid w:val="00595F18"/>
    <w:rsid w:val="005971AA"/>
    <w:rsid w:val="005A0412"/>
    <w:rsid w:val="005A29CB"/>
    <w:rsid w:val="005A494A"/>
    <w:rsid w:val="005A4AD5"/>
    <w:rsid w:val="005A4B91"/>
    <w:rsid w:val="005A56CD"/>
    <w:rsid w:val="005B2E23"/>
    <w:rsid w:val="005B53CE"/>
    <w:rsid w:val="005B62B7"/>
    <w:rsid w:val="005B7377"/>
    <w:rsid w:val="005C0442"/>
    <w:rsid w:val="005C3FB8"/>
    <w:rsid w:val="005C5DA5"/>
    <w:rsid w:val="005C5DA9"/>
    <w:rsid w:val="005C6979"/>
    <w:rsid w:val="005C6D34"/>
    <w:rsid w:val="005D1207"/>
    <w:rsid w:val="005D24F3"/>
    <w:rsid w:val="005D5CAF"/>
    <w:rsid w:val="005E181D"/>
    <w:rsid w:val="005E2FC2"/>
    <w:rsid w:val="005E4AC3"/>
    <w:rsid w:val="005F11BA"/>
    <w:rsid w:val="005F330A"/>
    <w:rsid w:val="005F4196"/>
    <w:rsid w:val="0060232F"/>
    <w:rsid w:val="00602E5B"/>
    <w:rsid w:val="00603567"/>
    <w:rsid w:val="006116FA"/>
    <w:rsid w:val="00614A02"/>
    <w:rsid w:val="0062086A"/>
    <w:rsid w:val="00621F35"/>
    <w:rsid w:val="00622CCD"/>
    <w:rsid w:val="006237C5"/>
    <w:rsid w:val="00623999"/>
    <w:rsid w:val="00623DE7"/>
    <w:rsid w:val="006244BC"/>
    <w:rsid w:val="00627581"/>
    <w:rsid w:val="00632587"/>
    <w:rsid w:val="00632C5C"/>
    <w:rsid w:val="006338EA"/>
    <w:rsid w:val="00635BC5"/>
    <w:rsid w:val="00635C82"/>
    <w:rsid w:val="00636CC9"/>
    <w:rsid w:val="00641F6A"/>
    <w:rsid w:val="0065388B"/>
    <w:rsid w:val="00653E8E"/>
    <w:rsid w:val="00654B3A"/>
    <w:rsid w:val="006551CE"/>
    <w:rsid w:val="00657597"/>
    <w:rsid w:val="00657E23"/>
    <w:rsid w:val="00662F10"/>
    <w:rsid w:val="00662F85"/>
    <w:rsid w:val="00664D78"/>
    <w:rsid w:val="006658DC"/>
    <w:rsid w:val="006665EA"/>
    <w:rsid w:val="00667721"/>
    <w:rsid w:val="00670034"/>
    <w:rsid w:val="00672997"/>
    <w:rsid w:val="00673E75"/>
    <w:rsid w:val="00674669"/>
    <w:rsid w:val="00675BB9"/>
    <w:rsid w:val="00680829"/>
    <w:rsid w:val="00682581"/>
    <w:rsid w:val="006834EB"/>
    <w:rsid w:val="00683D63"/>
    <w:rsid w:val="006852F3"/>
    <w:rsid w:val="0069525C"/>
    <w:rsid w:val="006A0B6E"/>
    <w:rsid w:val="006A40CC"/>
    <w:rsid w:val="006A524F"/>
    <w:rsid w:val="006A61FB"/>
    <w:rsid w:val="006A78F1"/>
    <w:rsid w:val="006B4C33"/>
    <w:rsid w:val="006B590A"/>
    <w:rsid w:val="006C11BB"/>
    <w:rsid w:val="006C5279"/>
    <w:rsid w:val="006D2C71"/>
    <w:rsid w:val="006D464E"/>
    <w:rsid w:val="006D5D35"/>
    <w:rsid w:val="006D6359"/>
    <w:rsid w:val="006E09DB"/>
    <w:rsid w:val="006E0F15"/>
    <w:rsid w:val="006E3693"/>
    <w:rsid w:val="006E3A4E"/>
    <w:rsid w:val="006E4676"/>
    <w:rsid w:val="006E5BA2"/>
    <w:rsid w:val="006F5C00"/>
    <w:rsid w:val="006F5F3E"/>
    <w:rsid w:val="006F6F15"/>
    <w:rsid w:val="007008BC"/>
    <w:rsid w:val="00701D66"/>
    <w:rsid w:val="00703F48"/>
    <w:rsid w:val="00705859"/>
    <w:rsid w:val="00705BFA"/>
    <w:rsid w:val="0070699D"/>
    <w:rsid w:val="0071082B"/>
    <w:rsid w:val="00710A8A"/>
    <w:rsid w:val="00711F8C"/>
    <w:rsid w:val="00712B1B"/>
    <w:rsid w:val="00712D50"/>
    <w:rsid w:val="00720B30"/>
    <w:rsid w:val="00721E6B"/>
    <w:rsid w:val="007300B1"/>
    <w:rsid w:val="00734550"/>
    <w:rsid w:val="00735458"/>
    <w:rsid w:val="0073587B"/>
    <w:rsid w:val="00737B6D"/>
    <w:rsid w:val="007414E5"/>
    <w:rsid w:val="00743B90"/>
    <w:rsid w:val="00744314"/>
    <w:rsid w:val="0074728A"/>
    <w:rsid w:val="007518CB"/>
    <w:rsid w:val="007571C0"/>
    <w:rsid w:val="007634EA"/>
    <w:rsid w:val="00763F3A"/>
    <w:rsid w:val="00764817"/>
    <w:rsid w:val="007727CF"/>
    <w:rsid w:val="00772E3E"/>
    <w:rsid w:val="00773B3A"/>
    <w:rsid w:val="00774F31"/>
    <w:rsid w:val="00777DF5"/>
    <w:rsid w:val="00782196"/>
    <w:rsid w:val="00783657"/>
    <w:rsid w:val="00784C29"/>
    <w:rsid w:val="007859D7"/>
    <w:rsid w:val="00791966"/>
    <w:rsid w:val="00793DCE"/>
    <w:rsid w:val="007959BA"/>
    <w:rsid w:val="007979E5"/>
    <w:rsid w:val="00797E8D"/>
    <w:rsid w:val="007A1FB1"/>
    <w:rsid w:val="007A5850"/>
    <w:rsid w:val="007A6D59"/>
    <w:rsid w:val="007B1723"/>
    <w:rsid w:val="007B1824"/>
    <w:rsid w:val="007B219E"/>
    <w:rsid w:val="007B2444"/>
    <w:rsid w:val="007B266C"/>
    <w:rsid w:val="007C0773"/>
    <w:rsid w:val="007C232A"/>
    <w:rsid w:val="007C2A0D"/>
    <w:rsid w:val="007C3E6B"/>
    <w:rsid w:val="007C63D2"/>
    <w:rsid w:val="007D185B"/>
    <w:rsid w:val="007E046E"/>
    <w:rsid w:val="007E06A0"/>
    <w:rsid w:val="007E3313"/>
    <w:rsid w:val="007E393A"/>
    <w:rsid w:val="007E640C"/>
    <w:rsid w:val="007F0EAB"/>
    <w:rsid w:val="007F3469"/>
    <w:rsid w:val="007F4228"/>
    <w:rsid w:val="007F435E"/>
    <w:rsid w:val="007F6CB2"/>
    <w:rsid w:val="007F7BC2"/>
    <w:rsid w:val="007F7D58"/>
    <w:rsid w:val="00801EBF"/>
    <w:rsid w:val="0080386A"/>
    <w:rsid w:val="00805235"/>
    <w:rsid w:val="00814007"/>
    <w:rsid w:val="00816019"/>
    <w:rsid w:val="00817C4C"/>
    <w:rsid w:val="008212A2"/>
    <w:rsid w:val="00822ABD"/>
    <w:rsid w:val="008243C7"/>
    <w:rsid w:val="00824440"/>
    <w:rsid w:val="0082616D"/>
    <w:rsid w:val="00826301"/>
    <w:rsid w:val="00826B14"/>
    <w:rsid w:val="00826F53"/>
    <w:rsid w:val="008307AA"/>
    <w:rsid w:val="00834161"/>
    <w:rsid w:val="00836F34"/>
    <w:rsid w:val="008401B2"/>
    <w:rsid w:val="0084195A"/>
    <w:rsid w:val="00841FAB"/>
    <w:rsid w:val="00843244"/>
    <w:rsid w:val="008442A5"/>
    <w:rsid w:val="00845426"/>
    <w:rsid w:val="00845B90"/>
    <w:rsid w:val="00845F03"/>
    <w:rsid w:val="008519BB"/>
    <w:rsid w:val="008544FB"/>
    <w:rsid w:val="00856BE4"/>
    <w:rsid w:val="00856E76"/>
    <w:rsid w:val="00864B46"/>
    <w:rsid w:val="0087073F"/>
    <w:rsid w:val="00871DB8"/>
    <w:rsid w:val="00877479"/>
    <w:rsid w:val="008778E2"/>
    <w:rsid w:val="008800F2"/>
    <w:rsid w:val="008837CE"/>
    <w:rsid w:val="0088781D"/>
    <w:rsid w:val="00887DF0"/>
    <w:rsid w:val="0089105F"/>
    <w:rsid w:val="00891731"/>
    <w:rsid w:val="0089199C"/>
    <w:rsid w:val="0089329E"/>
    <w:rsid w:val="008941E4"/>
    <w:rsid w:val="00895A21"/>
    <w:rsid w:val="008A053D"/>
    <w:rsid w:val="008A117D"/>
    <w:rsid w:val="008A28D7"/>
    <w:rsid w:val="008A560F"/>
    <w:rsid w:val="008B0A5A"/>
    <w:rsid w:val="008B0B70"/>
    <w:rsid w:val="008C5EAD"/>
    <w:rsid w:val="008C641F"/>
    <w:rsid w:val="008C660A"/>
    <w:rsid w:val="008C7B17"/>
    <w:rsid w:val="008D206B"/>
    <w:rsid w:val="008D4325"/>
    <w:rsid w:val="008D6DC7"/>
    <w:rsid w:val="008E0A4D"/>
    <w:rsid w:val="008E38A8"/>
    <w:rsid w:val="008F2D4E"/>
    <w:rsid w:val="008F489B"/>
    <w:rsid w:val="008F593E"/>
    <w:rsid w:val="008F7705"/>
    <w:rsid w:val="009014E8"/>
    <w:rsid w:val="00905A3D"/>
    <w:rsid w:val="00906F6E"/>
    <w:rsid w:val="00915554"/>
    <w:rsid w:val="00921869"/>
    <w:rsid w:val="00923917"/>
    <w:rsid w:val="009302FC"/>
    <w:rsid w:val="009339B3"/>
    <w:rsid w:val="009441D5"/>
    <w:rsid w:val="009450AA"/>
    <w:rsid w:val="00945DCD"/>
    <w:rsid w:val="00946D34"/>
    <w:rsid w:val="00951036"/>
    <w:rsid w:val="00953901"/>
    <w:rsid w:val="00956303"/>
    <w:rsid w:val="0095647B"/>
    <w:rsid w:val="009607A7"/>
    <w:rsid w:val="009616B3"/>
    <w:rsid w:val="00961A15"/>
    <w:rsid w:val="00962083"/>
    <w:rsid w:val="00962919"/>
    <w:rsid w:val="0096456B"/>
    <w:rsid w:val="00972E2F"/>
    <w:rsid w:val="00976267"/>
    <w:rsid w:val="00981266"/>
    <w:rsid w:val="009835D9"/>
    <w:rsid w:val="00983982"/>
    <w:rsid w:val="00985B14"/>
    <w:rsid w:val="009872E2"/>
    <w:rsid w:val="009913E2"/>
    <w:rsid w:val="00994D7D"/>
    <w:rsid w:val="00995236"/>
    <w:rsid w:val="00997E01"/>
    <w:rsid w:val="009A40E0"/>
    <w:rsid w:val="009A4DDC"/>
    <w:rsid w:val="009B0AEB"/>
    <w:rsid w:val="009B2B17"/>
    <w:rsid w:val="009B5223"/>
    <w:rsid w:val="009B6F23"/>
    <w:rsid w:val="009C4990"/>
    <w:rsid w:val="009C4A47"/>
    <w:rsid w:val="009C4D3A"/>
    <w:rsid w:val="009C613D"/>
    <w:rsid w:val="009C7535"/>
    <w:rsid w:val="009C7A7D"/>
    <w:rsid w:val="009D156F"/>
    <w:rsid w:val="009D1701"/>
    <w:rsid w:val="009D3870"/>
    <w:rsid w:val="009D3FF3"/>
    <w:rsid w:val="009D5FE7"/>
    <w:rsid w:val="009D6D17"/>
    <w:rsid w:val="009D7CF8"/>
    <w:rsid w:val="009E3040"/>
    <w:rsid w:val="009E45F9"/>
    <w:rsid w:val="009F0226"/>
    <w:rsid w:val="009F525D"/>
    <w:rsid w:val="009F65C0"/>
    <w:rsid w:val="009F7197"/>
    <w:rsid w:val="00A03141"/>
    <w:rsid w:val="00A06BC0"/>
    <w:rsid w:val="00A1037F"/>
    <w:rsid w:val="00A10B02"/>
    <w:rsid w:val="00A10FB5"/>
    <w:rsid w:val="00A1164F"/>
    <w:rsid w:val="00A12853"/>
    <w:rsid w:val="00A13A9B"/>
    <w:rsid w:val="00A17828"/>
    <w:rsid w:val="00A21EC2"/>
    <w:rsid w:val="00A242AE"/>
    <w:rsid w:val="00A25FEA"/>
    <w:rsid w:val="00A308E0"/>
    <w:rsid w:val="00A3432F"/>
    <w:rsid w:val="00A36DBB"/>
    <w:rsid w:val="00A40598"/>
    <w:rsid w:val="00A40F72"/>
    <w:rsid w:val="00A419BA"/>
    <w:rsid w:val="00A45116"/>
    <w:rsid w:val="00A456B4"/>
    <w:rsid w:val="00A45B8E"/>
    <w:rsid w:val="00A46690"/>
    <w:rsid w:val="00A518A5"/>
    <w:rsid w:val="00A53E05"/>
    <w:rsid w:val="00A54DFC"/>
    <w:rsid w:val="00A568B9"/>
    <w:rsid w:val="00A569F0"/>
    <w:rsid w:val="00A62671"/>
    <w:rsid w:val="00A7080C"/>
    <w:rsid w:val="00A70A6B"/>
    <w:rsid w:val="00A7373E"/>
    <w:rsid w:val="00A74268"/>
    <w:rsid w:val="00A758BA"/>
    <w:rsid w:val="00A77A2A"/>
    <w:rsid w:val="00A8025F"/>
    <w:rsid w:val="00A804A4"/>
    <w:rsid w:val="00A80A31"/>
    <w:rsid w:val="00A81E44"/>
    <w:rsid w:val="00A8224E"/>
    <w:rsid w:val="00A8243C"/>
    <w:rsid w:val="00A82557"/>
    <w:rsid w:val="00A85552"/>
    <w:rsid w:val="00A85F65"/>
    <w:rsid w:val="00A9200C"/>
    <w:rsid w:val="00A94E5C"/>
    <w:rsid w:val="00A95C91"/>
    <w:rsid w:val="00AA1698"/>
    <w:rsid w:val="00AA3EB9"/>
    <w:rsid w:val="00AA7057"/>
    <w:rsid w:val="00AA7F59"/>
    <w:rsid w:val="00AB6981"/>
    <w:rsid w:val="00AB7011"/>
    <w:rsid w:val="00AC02A2"/>
    <w:rsid w:val="00AD1147"/>
    <w:rsid w:val="00AD1C9C"/>
    <w:rsid w:val="00AD2A35"/>
    <w:rsid w:val="00AD3BF0"/>
    <w:rsid w:val="00AD3FE4"/>
    <w:rsid w:val="00AD6B1F"/>
    <w:rsid w:val="00AD781E"/>
    <w:rsid w:val="00AD7AD1"/>
    <w:rsid w:val="00AE01C5"/>
    <w:rsid w:val="00AE2227"/>
    <w:rsid w:val="00AE4350"/>
    <w:rsid w:val="00AE743D"/>
    <w:rsid w:val="00AE79F9"/>
    <w:rsid w:val="00AF0D70"/>
    <w:rsid w:val="00AF335A"/>
    <w:rsid w:val="00AF5231"/>
    <w:rsid w:val="00AF730A"/>
    <w:rsid w:val="00B04BCA"/>
    <w:rsid w:val="00B0786C"/>
    <w:rsid w:val="00B23F74"/>
    <w:rsid w:val="00B26D37"/>
    <w:rsid w:val="00B31FB3"/>
    <w:rsid w:val="00B3315A"/>
    <w:rsid w:val="00B3375E"/>
    <w:rsid w:val="00B34092"/>
    <w:rsid w:val="00B402C2"/>
    <w:rsid w:val="00B417AE"/>
    <w:rsid w:val="00B41E5B"/>
    <w:rsid w:val="00B4337A"/>
    <w:rsid w:val="00B44910"/>
    <w:rsid w:val="00B44C35"/>
    <w:rsid w:val="00B477C5"/>
    <w:rsid w:val="00B47CDC"/>
    <w:rsid w:val="00B51BFF"/>
    <w:rsid w:val="00B52F7E"/>
    <w:rsid w:val="00B635AB"/>
    <w:rsid w:val="00B70316"/>
    <w:rsid w:val="00B72B54"/>
    <w:rsid w:val="00B72F26"/>
    <w:rsid w:val="00B730D9"/>
    <w:rsid w:val="00B74D91"/>
    <w:rsid w:val="00B765D0"/>
    <w:rsid w:val="00B776FA"/>
    <w:rsid w:val="00B77A2A"/>
    <w:rsid w:val="00B81F74"/>
    <w:rsid w:val="00B85495"/>
    <w:rsid w:val="00B90811"/>
    <w:rsid w:val="00B92CBF"/>
    <w:rsid w:val="00B9722F"/>
    <w:rsid w:val="00BA1BAB"/>
    <w:rsid w:val="00BA1DD2"/>
    <w:rsid w:val="00BA3D40"/>
    <w:rsid w:val="00BA4B20"/>
    <w:rsid w:val="00BB2A8C"/>
    <w:rsid w:val="00BB35FF"/>
    <w:rsid w:val="00BB6F71"/>
    <w:rsid w:val="00BC1426"/>
    <w:rsid w:val="00BC297F"/>
    <w:rsid w:val="00BC2F52"/>
    <w:rsid w:val="00BD21F1"/>
    <w:rsid w:val="00BD22C3"/>
    <w:rsid w:val="00BD264C"/>
    <w:rsid w:val="00BD279A"/>
    <w:rsid w:val="00BD288E"/>
    <w:rsid w:val="00BD6644"/>
    <w:rsid w:val="00BE1B07"/>
    <w:rsid w:val="00BE360E"/>
    <w:rsid w:val="00BE4022"/>
    <w:rsid w:val="00BE48F9"/>
    <w:rsid w:val="00BE769A"/>
    <w:rsid w:val="00BF0B88"/>
    <w:rsid w:val="00BF2511"/>
    <w:rsid w:val="00BF767A"/>
    <w:rsid w:val="00C01F2B"/>
    <w:rsid w:val="00C04778"/>
    <w:rsid w:val="00C076D5"/>
    <w:rsid w:val="00C14635"/>
    <w:rsid w:val="00C16D69"/>
    <w:rsid w:val="00C17869"/>
    <w:rsid w:val="00C2236A"/>
    <w:rsid w:val="00C22800"/>
    <w:rsid w:val="00C25714"/>
    <w:rsid w:val="00C307E5"/>
    <w:rsid w:val="00C310DB"/>
    <w:rsid w:val="00C3121F"/>
    <w:rsid w:val="00C40861"/>
    <w:rsid w:val="00C424BF"/>
    <w:rsid w:val="00C43D33"/>
    <w:rsid w:val="00C43E0A"/>
    <w:rsid w:val="00C45FC3"/>
    <w:rsid w:val="00C527FF"/>
    <w:rsid w:val="00C5413F"/>
    <w:rsid w:val="00C635ED"/>
    <w:rsid w:val="00C65CF5"/>
    <w:rsid w:val="00C73B24"/>
    <w:rsid w:val="00C73E8A"/>
    <w:rsid w:val="00C742FA"/>
    <w:rsid w:val="00C803D5"/>
    <w:rsid w:val="00C80B4B"/>
    <w:rsid w:val="00C811DB"/>
    <w:rsid w:val="00C8215F"/>
    <w:rsid w:val="00C87199"/>
    <w:rsid w:val="00C920A3"/>
    <w:rsid w:val="00C920D3"/>
    <w:rsid w:val="00C923DB"/>
    <w:rsid w:val="00C9691B"/>
    <w:rsid w:val="00C96C69"/>
    <w:rsid w:val="00CA1AD5"/>
    <w:rsid w:val="00CA5B9B"/>
    <w:rsid w:val="00CA723D"/>
    <w:rsid w:val="00CB20D1"/>
    <w:rsid w:val="00CB2D2C"/>
    <w:rsid w:val="00CB48ED"/>
    <w:rsid w:val="00CB7D77"/>
    <w:rsid w:val="00CC0AE7"/>
    <w:rsid w:val="00CC6C63"/>
    <w:rsid w:val="00CC72E6"/>
    <w:rsid w:val="00CD09AE"/>
    <w:rsid w:val="00CE00C9"/>
    <w:rsid w:val="00CE038D"/>
    <w:rsid w:val="00CE1285"/>
    <w:rsid w:val="00CE2250"/>
    <w:rsid w:val="00CE5881"/>
    <w:rsid w:val="00CE6229"/>
    <w:rsid w:val="00CE6242"/>
    <w:rsid w:val="00CE63BB"/>
    <w:rsid w:val="00CE6A20"/>
    <w:rsid w:val="00CE70C1"/>
    <w:rsid w:val="00CF03EB"/>
    <w:rsid w:val="00CF4C15"/>
    <w:rsid w:val="00CF5C56"/>
    <w:rsid w:val="00CF659E"/>
    <w:rsid w:val="00CF7768"/>
    <w:rsid w:val="00D10618"/>
    <w:rsid w:val="00D14CCF"/>
    <w:rsid w:val="00D164B1"/>
    <w:rsid w:val="00D16DE8"/>
    <w:rsid w:val="00D250AF"/>
    <w:rsid w:val="00D26B11"/>
    <w:rsid w:val="00D27894"/>
    <w:rsid w:val="00D27D35"/>
    <w:rsid w:val="00D314B3"/>
    <w:rsid w:val="00D37ABB"/>
    <w:rsid w:val="00D40D56"/>
    <w:rsid w:val="00D416C7"/>
    <w:rsid w:val="00D434FD"/>
    <w:rsid w:val="00D43617"/>
    <w:rsid w:val="00D44A95"/>
    <w:rsid w:val="00D4596D"/>
    <w:rsid w:val="00D51FBF"/>
    <w:rsid w:val="00D5306B"/>
    <w:rsid w:val="00D53F86"/>
    <w:rsid w:val="00D624FE"/>
    <w:rsid w:val="00D63C91"/>
    <w:rsid w:val="00D64B67"/>
    <w:rsid w:val="00D67A93"/>
    <w:rsid w:val="00D7077D"/>
    <w:rsid w:val="00D72897"/>
    <w:rsid w:val="00D75F17"/>
    <w:rsid w:val="00D80068"/>
    <w:rsid w:val="00D81C89"/>
    <w:rsid w:val="00D82B2B"/>
    <w:rsid w:val="00D86D8A"/>
    <w:rsid w:val="00D90C61"/>
    <w:rsid w:val="00D9373A"/>
    <w:rsid w:val="00D96A75"/>
    <w:rsid w:val="00DA53E8"/>
    <w:rsid w:val="00DB15EF"/>
    <w:rsid w:val="00DB7C4B"/>
    <w:rsid w:val="00DC42EE"/>
    <w:rsid w:val="00DC5CFB"/>
    <w:rsid w:val="00DC6586"/>
    <w:rsid w:val="00DC7029"/>
    <w:rsid w:val="00DD1559"/>
    <w:rsid w:val="00DD36AB"/>
    <w:rsid w:val="00DE5A11"/>
    <w:rsid w:val="00DE6F8C"/>
    <w:rsid w:val="00DE7839"/>
    <w:rsid w:val="00DF136E"/>
    <w:rsid w:val="00DF6FCF"/>
    <w:rsid w:val="00DF73AD"/>
    <w:rsid w:val="00DF7E2E"/>
    <w:rsid w:val="00E048AE"/>
    <w:rsid w:val="00E073D6"/>
    <w:rsid w:val="00E1020D"/>
    <w:rsid w:val="00E1053B"/>
    <w:rsid w:val="00E105DD"/>
    <w:rsid w:val="00E108A1"/>
    <w:rsid w:val="00E10CE4"/>
    <w:rsid w:val="00E139DB"/>
    <w:rsid w:val="00E15843"/>
    <w:rsid w:val="00E15BE8"/>
    <w:rsid w:val="00E1636B"/>
    <w:rsid w:val="00E17801"/>
    <w:rsid w:val="00E17ECF"/>
    <w:rsid w:val="00E210DE"/>
    <w:rsid w:val="00E22E29"/>
    <w:rsid w:val="00E238B8"/>
    <w:rsid w:val="00E23D94"/>
    <w:rsid w:val="00E24490"/>
    <w:rsid w:val="00E252C2"/>
    <w:rsid w:val="00E25355"/>
    <w:rsid w:val="00E303FF"/>
    <w:rsid w:val="00E304EE"/>
    <w:rsid w:val="00E312EA"/>
    <w:rsid w:val="00E313A4"/>
    <w:rsid w:val="00E36947"/>
    <w:rsid w:val="00E407E5"/>
    <w:rsid w:val="00E41366"/>
    <w:rsid w:val="00E42957"/>
    <w:rsid w:val="00E43F6A"/>
    <w:rsid w:val="00E47514"/>
    <w:rsid w:val="00E47B7C"/>
    <w:rsid w:val="00E520FA"/>
    <w:rsid w:val="00E53D74"/>
    <w:rsid w:val="00E54F1C"/>
    <w:rsid w:val="00E55D5C"/>
    <w:rsid w:val="00E55E88"/>
    <w:rsid w:val="00E56726"/>
    <w:rsid w:val="00E56858"/>
    <w:rsid w:val="00E63E33"/>
    <w:rsid w:val="00E64226"/>
    <w:rsid w:val="00E64C93"/>
    <w:rsid w:val="00E65D52"/>
    <w:rsid w:val="00E7690B"/>
    <w:rsid w:val="00E803DA"/>
    <w:rsid w:val="00E81E13"/>
    <w:rsid w:val="00E81E4F"/>
    <w:rsid w:val="00E8407E"/>
    <w:rsid w:val="00E8532C"/>
    <w:rsid w:val="00E85979"/>
    <w:rsid w:val="00E875B2"/>
    <w:rsid w:val="00E87A6A"/>
    <w:rsid w:val="00E925BF"/>
    <w:rsid w:val="00E93026"/>
    <w:rsid w:val="00E9598D"/>
    <w:rsid w:val="00EA2DE7"/>
    <w:rsid w:val="00EB063E"/>
    <w:rsid w:val="00EB1E80"/>
    <w:rsid w:val="00EB4A2F"/>
    <w:rsid w:val="00EB573C"/>
    <w:rsid w:val="00EC326B"/>
    <w:rsid w:val="00EC3F1B"/>
    <w:rsid w:val="00EC566F"/>
    <w:rsid w:val="00EC6E92"/>
    <w:rsid w:val="00ED38E8"/>
    <w:rsid w:val="00ED6FE8"/>
    <w:rsid w:val="00ED7DDA"/>
    <w:rsid w:val="00EE1683"/>
    <w:rsid w:val="00EE2C4B"/>
    <w:rsid w:val="00EE3DC0"/>
    <w:rsid w:val="00EE4D2E"/>
    <w:rsid w:val="00EE5326"/>
    <w:rsid w:val="00EE66D3"/>
    <w:rsid w:val="00EF5A43"/>
    <w:rsid w:val="00EF5C77"/>
    <w:rsid w:val="00EF6240"/>
    <w:rsid w:val="00EF71D6"/>
    <w:rsid w:val="00EF77C8"/>
    <w:rsid w:val="00F01CFB"/>
    <w:rsid w:val="00F01F38"/>
    <w:rsid w:val="00F03401"/>
    <w:rsid w:val="00F03DD0"/>
    <w:rsid w:val="00F041BB"/>
    <w:rsid w:val="00F119E1"/>
    <w:rsid w:val="00F132FE"/>
    <w:rsid w:val="00F21E5A"/>
    <w:rsid w:val="00F2420F"/>
    <w:rsid w:val="00F32F9A"/>
    <w:rsid w:val="00F357A9"/>
    <w:rsid w:val="00F364E3"/>
    <w:rsid w:val="00F37035"/>
    <w:rsid w:val="00F43B80"/>
    <w:rsid w:val="00F44B33"/>
    <w:rsid w:val="00F44D7B"/>
    <w:rsid w:val="00F50EE0"/>
    <w:rsid w:val="00F51419"/>
    <w:rsid w:val="00F52016"/>
    <w:rsid w:val="00F55E84"/>
    <w:rsid w:val="00F561B4"/>
    <w:rsid w:val="00F5676E"/>
    <w:rsid w:val="00F60B27"/>
    <w:rsid w:val="00F61244"/>
    <w:rsid w:val="00F656FD"/>
    <w:rsid w:val="00F66E16"/>
    <w:rsid w:val="00F66FCB"/>
    <w:rsid w:val="00F6736C"/>
    <w:rsid w:val="00F725E1"/>
    <w:rsid w:val="00F72C94"/>
    <w:rsid w:val="00F76EA5"/>
    <w:rsid w:val="00F80A0C"/>
    <w:rsid w:val="00F81B86"/>
    <w:rsid w:val="00F8320C"/>
    <w:rsid w:val="00F83F5C"/>
    <w:rsid w:val="00F85EAF"/>
    <w:rsid w:val="00F85FB7"/>
    <w:rsid w:val="00F878D5"/>
    <w:rsid w:val="00F94519"/>
    <w:rsid w:val="00F95A48"/>
    <w:rsid w:val="00F96259"/>
    <w:rsid w:val="00F97268"/>
    <w:rsid w:val="00F97446"/>
    <w:rsid w:val="00FB44F4"/>
    <w:rsid w:val="00FB6EFB"/>
    <w:rsid w:val="00FC0088"/>
    <w:rsid w:val="00FC02D8"/>
    <w:rsid w:val="00FC107D"/>
    <w:rsid w:val="00FC10AB"/>
    <w:rsid w:val="00FC1F9C"/>
    <w:rsid w:val="00FC6ACF"/>
    <w:rsid w:val="00FC735F"/>
    <w:rsid w:val="00FD1CBE"/>
    <w:rsid w:val="00FD211E"/>
    <w:rsid w:val="00FE4E50"/>
    <w:rsid w:val="00FE583C"/>
    <w:rsid w:val="00FE6055"/>
    <w:rsid w:val="00FE6B00"/>
    <w:rsid w:val="00FE6B75"/>
    <w:rsid w:val="00FF0751"/>
    <w:rsid w:val="00FF19D5"/>
    <w:rsid w:val="00FF5207"/>
    <w:rsid w:val="00FF70B3"/>
    <w:rsid w:val="2860C9CF"/>
    <w:rsid w:val="2D770930"/>
    <w:rsid w:val="30B1E669"/>
    <w:rsid w:val="30BE3F24"/>
    <w:rsid w:val="38946B00"/>
    <w:rsid w:val="38ED4793"/>
    <w:rsid w:val="3A63D527"/>
    <w:rsid w:val="4A98D89F"/>
    <w:rsid w:val="4FA106B2"/>
    <w:rsid w:val="50798765"/>
    <w:rsid w:val="638955A4"/>
    <w:rsid w:val="64FFE338"/>
    <w:rsid w:val="7A0D304D"/>
    <w:rsid w:val="7A7E8119"/>
    <w:rsid w:val="7CA00E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34111"/>
  <w15:docId w15:val="{3206E9CF-B78A-4F8D-82AF-8D22901D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A7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A75"/>
    <w:pPr>
      <w:ind w:left="720"/>
      <w:contextualSpacing/>
    </w:pPr>
  </w:style>
  <w:style w:type="character" w:styleId="Hyperlink">
    <w:name w:val="Hyperlink"/>
    <w:basedOn w:val="DefaultParagraphFont"/>
    <w:uiPriority w:val="99"/>
    <w:unhideWhenUsed/>
    <w:rsid w:val="00D96A75"/>
    <w:rPr>
      <w:color w:val="0000FF" w:themeColor="hyperlink"/>
      <w:u w:val="single"/>
    </w:rPr>
  </w:style>
  <w:style w:type="paragraph" w:styleId="FootnoteText">
    <w:name w:val="footnote text"/>
    <w:basedOn w:val="Normal"/>
    <w:link w:val="FootnoteTextChar"/>
    <w:uiPriority w:val="99"/>
    <w:semiHidden/>
    <w:unhideWhenUsed/>
    <w:rsid w:val="00D96A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6A75"/>
    <w:rPr>
      <w:sz w:val="20"/>
      <w:szCs w:val="20"/>
    </w:rPr>
  </w:style>
  <w:style w:type="character" w:styleId="FootnoteReference">
    <w:name w:val="footnote reference"/>
    <w:basedOn w:val="DefaultParagraphFont"/>
    <w:uiPriority w:val="99"/>
    <w:semiHidden/>
    <w:unhideWhenUsed/>
    <w:rsid w:val="00D96A75"/>
    <w:rPr>
      <w:vertAlign w:val="superscript"/>
    </w:rPr>
  </w:style>
  <w:style w:type="character" w:styleId="CommentReference">
    <w:name w:val="annotation reference"/>
    <w:basedOn w:val="DefaultParagraphFont"/>
    <w:uiPriority w:val="99"/>
    <w:semiHidden/>
    <w:unhideWhenUsed/>
    <w:rsid w:val="00D96A75"/>
    <w:rPr>
      <w:sz w:val="16"/>
      <w:szCs w:val="16"/>
    </w:rPr>
  </w:style>
  <w:style w:type="paragraph" w:styleId="CommentText">
    <w:name w:val="annotation text"/>
    <w:basedOn w:val="Normal"/>
    <w:link w:val="CommentTextChar"/>
    <w:uiPriority w:val="99"/>
    <w:semiHidden/>
    <w:unhideWhenUsed/>
    <w:rsid w:val="00D96A75"/>
    <w:pPr>
      <w:spacing w:line="240" w:lineRule="auto"/>
    </w:pPr>
    <w:rPr>
      <w:sz w:val="20"/>
      <w:szCs w:val="20"/>
    </w:rPr>
  </w:style>
  <w:style w:type="character" w:customStyle="1" w:styleId="CommentTextChar">
    <w:name w:val="Comment Text Char"/>
    <w:basedOn w:val="DefaultParagraphFont"/>
    <w:link w:val="CommentText"/>
    <w:uiPriority w:val="99"/>
    <w:semiHidden/>
    <w:rsid w:val="00D96A75"/>
    <w:rPr>
      <w:sz w:val="20"/>
      <w:szCs w:val="20"/>
    </w:rPr>
  </w:style>
  <w:style w:type="paragraph" w:styleId="CommentSubject">
    <w:name w:val="annotation subject"/>
    <w:basedOn w:val="CommentText"/>
    <w:next w:val="CommentText"/>
    <w:link w:val="CommentSubjectChar"/>
    <w:uiPriority w:val="99"/>
    <w:semiHidden/>
    <w:unhideWhenUsed/>
    <w:rsid w:val="00D96A75"/>
    <w:rPr>
      <w:b/>
      <w:bCs/>
    </w:rPr>
  </w:style>
  <w:style w:type="character" w:customStyle="1" w:styleId="CommentSubjectChar">
    <w:name w:val="Comment Subject Char"/>
    <w:basedOn w:val="CommentTextChar"/>
    <w:link w:val="CommentSubject"/>
    <w:uiPriority w:val="99"/>
    <w:semiHidden/>
    <w:rsid w:val="00D96A75"/>
    <w:rPr>
      <w:b/>
      <w:bCs/>
      <w:sz w:val="20"/>
      <w:szCs w:val="20"/>
    </w:rPr>
  </w:style>
  <w:style w:type="paragraph" w:styleId="BalloonText">
    <w:name w:val="Balloon Text"/>
    <w:basedOn w:val="Normal"/>
    <w:link w:val="BalloonTextChar"/>
    <w:uiPriority w:val="99"/>
    <w:semiHidden/>
    <w:unhideWhenUsed/>
    <w:rsid w:val="00D96A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A75"/>
    <w:rPr>
      <w:rFonts w:ascii="Tahoma" w:hAnsi="Tahoma" w:cs="Tahoma"/>
      <w:sz w:val="16"/>
      <w:szCs w:val="16"/>
    </w:rPr>
  </w:style>
  <w:style w:type="table" w:styleId="TableGrid">
    <w:name w:val="Table Grid"/>
    <w:basedOn w:val="TableNormal"/>
    <w:uiPriority w:val="39"/>
    <w:rsid w:val="00D96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6852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52F3"/>
  </w:style>
  <w:style w:type="paragraph" w:styleId="Footer">
    <w:name w:val="footer"/>
    <w:basedOn w:val="Normal"/>
    <w:link w:val="FooterChar"/>
    <w:uiPriority w:val="99"/>
    <w:semiHidden/>
    <w:unhideWhenUsed/>
    <w:rsid w:val="006852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52F3"/>
  </w:style>
  <w:style w:type="paragraph" w:styleId="Caption">
    <w:name w:val="caption"/>
    <w:basedOn w:val="Normal"/>
    <w:next w:val="Normal"/>
    <w:uiPriority w:val="35"/>
    <w:unhideWhenUsed/>
    <w:qFormat/>
    <w:rsid w:val="007859D7"/>
    <w:pPr>
      <w:spacing w:line="240" w:lineRule="auto"/>
    </w:pPr>
    <w:rPr>
      <w:i/>
      <w:iCs/>
      <w:color w:val="1F497D" w:themeColor="text2"/>
      <w:sz w:val="18"/>
      <w:szCs w:val="18"/>
    </w:rPr>
  </w:style>
  <w:style w:type="character" w:customStyle="1" w:styleId="UnresolvedMention1">
    <w:name w:val="Unresolved Mention1"/>
    <w:basedOn w:val="DefaultParagraphFont"/>
    <w:uiPriority w:val="99"/>
    <w:semiHidden/>
    <w:unhideWhenUsed/>
    <w:rsid w:val="000625A2"/>
    <w:rPr>
      <w:color w:val="605E5C"/>
      <w:shd w:val="clear" w:color="auto" w:fill="E1DFDD"/>
    </w:rPr>
  </w:style>
  <w:style w:type="paragraph" w:styleId="Revision">
    <w:name w:val="Revision"/>
    <w:hidden/>
    <w:uiPriority w:val="99"/>
    <w:semiHidden/>
    <w:rsid w:val="003D4740"/>
    <w:pPr>
      <w:spacing w:after="0" w:line="240" w:lineRule="auto"/>
    </w:pPr>
    <w:rPr>
      <w:lang w:val="en-GB"/>
    </w:rPr>
  </w:style>
  <w:style w:type="character" w:customStyle="1" w:styleId="UnresolvedMention2">
    <w:name w:val="Unresolved Mention2"/>
    <w:basedOn w:val="DefaultParagraphFont"/>
    <w:uiPriority w:val="99"/>
    <w:semiHidden/>
    <w:unhideWhenUsed/>
    <w:rsid w:val="007108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06809">
      <w:bodyDiv w:val="1"/>
      <w:marLeft w:val="0"/>
      <w:marRight w:val="0"/>
      <w:marTop w:val="0"/>
      <w:marBottom w:val="0"/>
      <w:divBdr>
        <w:top w:val="none" w:sz="0" w:space="0" w:color="auto"/>
        <w:left w:val="none" w:sz="0" w:space="0" w:color="auto"/>
        <w:bottom w:val="none" w:sz="0" w:space="0" w:color="auto"/>
        <w:right w:val="none" w:sz="0" w:space="0" w:color="auto"/>
      </w:divBdr>
    </w:div>
    <w:div w:id="129635605">
      <w:bodyDiv w:val="1"/>
      <w:marLeft w:val="0"/>
      <w:marRight w:val="0"/>
      <w:marTop w:val="0"/>
      <w:marBottom w:val="0"/>
      <w:divBdr>
        <w:top w:val="none" w:sz="0" w:space="0" w:color="auto"/>
        <w:left w:val="none" w:sz="0" w:space="0" w:color="auto"/>
        <w:bottom w:val="none" w:sz="0" w:space="0" w:color="auto"/>
        <w:right w:val="none" w:sz="0" w:space="0" w:color="auto"/>
      </w:divBdr>
    </w:div>
    <w:div w:id="596132331">
      <w:bodyDiv w:val="1"/>
      <w:marLeft w:val="0"/>
      <w:marRight w:val="0"/>
      <w:marTop w:val="0"/>
      <w:marBottom w:val="0"/>
      <w:divBdr>
        <w:top w:val="none" w:sz="0" w:space="0" w:color="auto"/>
        <w:left w:val="none" w:sz="0" w:space="0" w:color="auto"/>
        <w:bottom w:val="none" w:sz="0" w:space="0" w:color="auto"/>
        <w:right w:val="none" w:sz="0" w:space="0" w:color="auto"/>
      </w:divBdr>
    </w:div>
    <w:div w:id="795489829">
      <w:bodyDiv w:val="1"/>
      <w:marLeft w:val="0"/>
      <w:marRight w:val="0"/>
      <w:marTop w:val="0"/>
      <w:marBottom w:val="0"/>
      <w:divBdr>
        <w:top w:val="none" w:sz="0" w:space="0" w:color="auto"/>
        <w:left w:val="none" w:sz="0" w:space="0" w:color="auto"/>
        <w:bottom w:val="none" w:sz="0" w:space="0" w:color="auto"/>
        <w:right w:val="none" w:sz="0" w:space="0" w:color="auto"/>
      </w:divBdr>
    </w:div>
    <w:div w:id="1352533976">
      <w:bodyDiv w:val="1"/>
      <w:marLeft w:val="0"/>
      <w:marRight w:val="0"/>
      <w:marTop w:val="0"/>
      <w:marBottom w:val="0"/>
      <w:divBdr>
        <w:top w:val="none" w:sz="0" w:space="0" w:color="auto"/>
        <w:left w:val="none" w:sz="0" w:space="0" w:color="auto"/>
        <w:bottom w:val="none" w:sz="0" w:space="0" w:color="auto"/>
        <w:right w:val="none" w:sz="0" w:space="0" w:color="auto"/>
      </w:divBdr>
    </w:div>
    <w:div w:id="1697586056">
      <w:bodyDiv w:val="1"/>
      <w:marLeft w:val="0"/>
      <w:marRight w:val="0"/>
      <w:marTop w:val="0"/>
      <w:marBottom w:val="0"/>
      <w:divBdr>
        <w:top w:val="none" w:sz="0" w:space="0" w:color="auto"/>
        <w:left w:val="none" w:sz="0" w:space="0" w:color="auto"/>
        <w:bottom w:val="none" w:sz="0" w:space="0" w:color="auto"/>
        <w:right w:val="none" w:sz="0" w:space="0" w:color="auto"/>
      </w:divBdr>
    </w:div>
    <w:div w:id="184493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s://doi.org/10.1007/s11109-021-09720-y" TargetMode="External"/><Relationship Id="rId26" Type="http://schemas.openxmlformats.org/officeDocument/2006/relationships/hyperlink" Target="https://www.citypopulation.de/en/nigeria/cities/" TargetMode="External"/><Relationship Id="rId3" Type="http://schemas.openxmlformats.org/officeDocument/2006/relationships/styles" Target="styles.xml"/><Relationship Id="rId21" Type="http://schemas.openxmlformats.org/officeDocument/2006/relationships/hyperlink" Target="https://www.humanitarianresponse.info/sites/www.humanitarianresponse.info/files/assessments/wome_elections_and_violence_in_west_africa.pdf"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s://doi.org/10.1007/978-3-319-77030-7_74-1" TargetMode="External"/><Relationship Id="rId25" Type="http://schemas.openxmlformats.org/officeDocument/2006/relationships/hyperlink" Target="https://punchng.com/clerics-urge-inec-to-make-churches-mosques-registration-points/" TargetMode="External"/><Relationship Id="rId2" Type="http://schemas.openxmlformats.org/officeDocument/2006/relationships/numbering" Target="numbering.xml"/><Relationship Id="rId16" Type="http://schemas.openxmlformats.org/officeDocument/2006/relationships/hyperlink" Target="https://dailytrust.com/anambra-poll-ignore-us-at-your-peril-pfn-warns-political-parties" TargetMode="External"/><Relationship Id="rId20" Type="http://schemas.openxmlformats.org/officeDocument/2006/relationships/hyperlink" Target="https://doi.org/10.3390/su132413604" TargetMode="External"/><Relationship Id="rId29" Type="http://schemas.openxmlformats.org/officeDocument/2006/relationships/hyperlink" Target="https://uknowledge.uky.edu/mpampp_etds/2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yperlink" Target="https://doi.org/10.1016/j.electstud.2022.102456" TargetMode="External"/><Relationship Id="rId5" Type="http://schemas.openxmlformats.org/officeDocument/2006/relationships/webSettings" Target="webSettings.xml"/><Relationship Id="rId15" Type="http://schemas.openxmlformats.org/officeDocument/2006/relationships/hyperlink" Target="https://doi.org/10.1515/openps-2020-0002" TargetMode="External"/><Relationship Id="rId23" Type="http://schemas.openxmlformats.org/officeDocument/2006/relationships/hyperlink" Target="https://doi.org/10.1057/s41599-019-0368-9" TargetMode="External"/><Relationship Id="rId28" Type="http://schemas.openxmlformats.org/officeDocument/2006/relationships/hyperlink" Target="https://www.rand.org/pubs/research_reports/RR1063.html" TargetMode="External"/><Relationship Id="rId10" Type="http://schemas.openxmlformats.org/officeDocument/2006/relationships/chart" Target="charts/chart3.xml"/><Relationship Id="rId19" Type="http://schemas.openxmlformats.org/officeDocument/2006/relationships/hyperlink" Target="https://www.sunnewsonline.com/cvr-catholic-church-asked-priests-to-facilitate-parishioners-particip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s://www.thecable.ng/weaponising-religion-in-yoruba-politics" TargetMode="External"/><Relationship Id="rId27" Type="http://schemas.openxmlformats.org/officeDocument/2006/relationships/hyperlink" Target="https://doi.org/10.1177/1354068813509516"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https://outlookuwicac-my.sharepoint.com/personal/sm21564_cardiffmet_ac_uk/Documents/Documents/Research/Draft%20Manuscripts/Voter%20Turnout/Voter%20Turnou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https://outlookuwicac-my.sharepoint.com/personal/sm21564_cardiffmet_ac_uk/Documents/Documents/Research/Draft%20Manuscripts/Voter%20Turnout/Voter%20Turnou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outlookuwicac-my.sharepoint.com/personal/sm21564_cardiffmet_ac_uk/Documents/Documents/Research/Draft%20Manuscripts/Voter%20Turnout/Voting-SEF-Nigeri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https://outlookuwicac-my.sharepoint.com/personal/sm21564_cardiffmet_ac_uk/Documents/Documents/Research/Draft%20Manuscripts/Voter%20Turnout/Voter%20Turnou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https://outlookuwicac-my.sharepoint.com/personal/sm21564_cardiffmet_ac_uk/Documents/Documents/Research/Draft%20Manuscripts/Voter%20Turnout/Voter%20Turnout.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xlsx"/></Relationships>
</file>

<file path=word/charts/_rels/chart7.xml.rels><?xml version="1.0" encoding="UTF-8" standalone="yes"?>
<Relationships xmlns="http://schemas.openxmlformats.org/package/2006/relationships"><Relationship Id="rId1" Type="http://schemas.openxmlformats.org/officeDocument/2006/relationships/oleObject" Target="https://outlookuwicac-my.sharepoint.com/personal/sm21564_cardiffmet_ac_uk/Documents/Documents/Research/Draft%20Manuscripts/Voter%20Turnout/Voter%20Turnou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MPI!$P$1</c:f>
              <c:strCache>
                <c:ptCount val="1"/>
                <c:pt idx="0">
                  <c:v>Population Share</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MPI!$O$2:$O$7</c:f>
              <c:strCache>
                <c:ptCount val="6"/>
                <c:pt idx="0">
                  <c:v>NC</c:v>
                </c:pt>
                <c:pt idx="1">
                  <c:v>NE</c:v>
                </c:pt>
                <c:pt idx="2">
                  <c:v>NW</c:v>
                </c:pt>
                <c:pt idx="3">
                  <c:v>SE</c:v>
                </c:pt>
                <c:pt idx="4">
                  <c:v>SS</c:v>
                </c:pt>
                <c:pt idx="5">
                  <c:v>SW</c:v>
                </c:pt>
              </c:strCache>
            </c:strRef>
          </c:cat>
          <c:val>
            <c:numRef>
              <c:f>MPI!$P$2:$P$7</c:f>
              <c:numCache>
                <c:formatCode>General</c:formatCode>
                <c:ptCount val="6"/>
                <c:pt idx="0">
                  <c:v>13.8</c:v>
                </c:pt>
                <c:pt idx="1">
                  <c:v>16.399999999999999</c:v>
                </c:pt>
                <c:pt idx="2">
                  <c:v>29.199999999999996</c:v>
                </c:pt>
                <c:pt idx="3">
                  <c:v>11.799999999999999</c:v>
                </c:pt>
                <c:pt idx="4">
                  <c:v>11.2</c:v>
                </c:pt>
                <c:pt idx="5">
                  <c:v>17.3</c:v>
                </c:pt>
              </c:numCache>
            </c:numRef>
          </c:val>
          <c:extLst>
            <c:ext xmlns:c16="http://schemas.microsoft.com/office/drawing/2014/chart" uri="{C3380CC4-5D6E-409C-BE32-E72D297353CC}">
              <c16:uniqueId val="{00000000-BA51-4AD9-8E75-B43E4820CDA5}"/>
            </c:ext>
          </c:extLst>
        </c:ser>
        <c:ser>
          <c:idx val="1"/>
          <c:order val="1"/>
          <c:tx>
            <c:strRef>
              <c:f>MPI!$Q$1</c:f>
              <c:strCache>
                <c:ptCount val="1"/>
                <c:pt idx="0">
                  <c:v>Registered Voters Share</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MPI!$O$2:$O$7</c:f>
              <c:strCache>
                <c:ptCount val="6"/>
                <c:pt idx="0">
                  <c:v>NC</c:v>
                </c:pt>
                <c:pt idx="1">
                  <c:v>NE</c:v>
                </c:pt>
                <c:pt idx="2">
                  <c:v>NW</c:v>
                </c:pt>
                <c:pt idx="3">
                  <c:v>SE</c:v>
                </c:pt>
                <c:pt idx="4">
                  <c:v>SS</c:v>
                </c:pt>
                <c:pt idx="5">
                  <c:v>SW</c:v>
                </c:pt>
              </c:strCache>
            </c:strRef>
          </c:cat>
          <c:val>
            <c:numRef>
              <c:f>MPI!$Q$2:$Q$7</c:f>
              <c:numCache>
                <c:formatCode>0.0</c:formatCode>
                <c:ptCount val="6"/>
                <c:pt idx="0">
                  <c:v>16.282454396798226</c:v>
                </c:pt>
                <c:pt idx="1">
                  <c:v>13.312573022379816</c:v>
                </c:pt>
                <c:pt idx="2">
                  <c:v>23.542455750031763</c:v>
                </c:pt>
                <c:pt idx="3">
                  <c:v>11.939737744337467</c:v>
                </c:pt>
                <c:pt idx="4">
                  <c:v>15.886760271273065</c:v>
                </c:pt>
                <c:pt idx="5">
                  <c:v>19.036018815179659</c:v>
                </c:pt>
              </c:numCache>
            </c:numRef>
          </c:val>
          <c:extLst>
            <c:ext xmlns:c16="http://schemas.microsoft.com/office/drawing/2014/chart" uri="{C3380CC4-5D6E-409C-BE32-E72D297353CC}">
              <c16:uniqueId val="{00000001-BA51-4AD9-8E75-B43E4820CDA5}"/>
            </c:ext>
          </c:extLst>
        </c:ser>
        <c:ser>
          <c:idx val="2"/>
          <c:order val="2"/>
          <c:tx>
            <c:strRef>
              <c:f>MPI!$R$1</c:f>
              <c:strCache>
                <c:ptCount val="1"/>
                <c:pt idx="0">
                  <c:v>Unemployment rate</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MPI!$O$2:$O$7</c:f>
              <c:strCache>
                <c:ptCount val="6"/>
                <c:pt idx="0">
                  <c:v>NC</c:v>
                </c:pt>
                <c:pt idx="1">
                  <c:v>NE</c:v>
                </c:pt>
                <c:pt idx="2">
                  <c:v>NW</c:v>
                </c:pt>
                <c:pt idx="3">
                  <c:v>SE</c:v>
                </c:pt>
                <c:pt idx="4">
                  <c:v>SS</c:v>
                </c:pt>
                <c:pt idx="5">
                  <c:v>SW</c:v>
                </c:pt>
              </c:strCache>
            </c:strRef>
          </c:cat>
          <c:val>
            <c:numRef>
              <c:f>MPI!$R$2:$R$7</c:f>
              <c:numCache>
                <c:formatCode>0.0</c:formatCode>
                <c:ptCount val="6"/>
                <c:pt idx="0">
                  <c:v>29.018108503468849</c:v>
                </c:pt>
                <c:pt idx="1">
                  <c:v>41.2899718352162</c:v>
                </c:pt>
                <c:pt idx="2">
                  <c:v>25.485566579040938</c:v>
                </c:pt>
                <c:pt idx="3">
                  <c:v>44.541923325109337</c:v>
                </c:pt>
                <c:pt idx="4">
                  <c:v>43.849631155081163</c:v>
                </c:pt>
                <c:pt idx="5">
                  <c:v>22.074346126824963</c:v>
                </c:pt>
              </c:numCache>
            </c:numRef>
          </c:val>
          <c:extLst>
            <c:ext xmlns:c16="http://schemas.microsoft.com/office/drawing/2014/chart" uri="{C3380CC4-5D6E-409C-BE32-E72D297353CC}">
              <c16:uniqueId val="{00000002-BA51-4AD9-8E75-B43E4820CDA5}"/>
            </c:ext>
          </c:extLst>
        </c:ser>
        <c:ser>
          <c:idx val="3"/>
          <c:order val="3"/>
          <c:tx>
            <c:strRef>
              <c:f>MPI!$S$1</c:f>
              <c:strCache>
                <c:ptCount val="1"/>
                <c:pt idx="0">
                  <c:v>MPI</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MPI!$O$2:$O$7</c:f>
              <c:strCache>
                <c:ptCount val="6"/>
                <c:pt idx="0">
                  <c:v>NC</c:v>
                </c:pt>
                <c:pt idx="1">
                  <c:v>NE</c:v>
                </c:pt>
                <c:pt idx="2">
                  <c:v>NW</c:v>
                </c:pt>
                <c:pt idx="3">
                  <c:v>SE</c:v>
                </c:pt>
                <c:pt idx="4">
                  <c:v>SS</c:v>
                </c:pt>
                <c:pt idx="5">
                  <c:v>SW</c:v>
                </c:pt>
              </c:strCache>
            </c:strRef>
          </c:cat>
          <c:val>
            <c:numRef>
              <c:f>MPI!$S$2:$S$7</c:f>
              <c:numCache>
                <c:formatCode>0.0</c:formatCode>
                <c:ptCount val="6"/>
                <c:pt idx="0">
                  <c:v>20.557142857142853</c:v>
                </c:pt>
                <c:pt idx="1">
                  <c:v>42.000000000000007</c:v>
                </c:pt>
                <c:pt idx="2">
                  <c:v>45.48571428571428</c:v>
                </c:pt>
                <c:pt idx="3">
                  <c:v>8</c:v>
                </c:pt>
                <c:pt idx="4">
                  <c:v>9.0833333333333339</c:v>
                </c:pt>
                <c:pt idx="5">
                  <c:v>6.8166666666666664</c:v>
                </c:pt>
              </c:numCache>
            </c:numRef>
          </c:val>
          <c:extLst>
            <c:ext xmlns:c16="http://schemas.microsoft.com/office/drawing/2014/chart" uri="{C3380CC4-5D6E-409C-BE32-E72D297353CC}">
              <c16:uniqueId val="{00000003-BA51-4AD9-8E75-B43E4820CDA5}"/>
            </c:ext>
          </c:extLst>
        </c:ser>
        <c:ser>
          <c:idx val="4"/>
          <c:order val="4"/>
          <c:tx>
            <c:strRef>
              <c:f>MPI!$T$1</c:f>
              <c:strCache>
                <c:ptCount val="1"/>
                <c:pt idx="0">
                  <c:v>Internet Usage Share</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MPI!$O$2:$O$7</c:f>
              <c:strCache>
                <c:ptCount val="6"/>
                <c:pt idx="0">
                  <c:v>NC</c:v>
                </c:pt>
                <c:pt idx="1">
                  <c:v>NE</c:v>
                </c:pt>
                <c:pt idx="2">
                  <c:v>NW</c:v>
                </c:pt>
                <c:pt idx="3">
                  <c:v>SE</c:v>
                </c:pt>
                <c:pt idx="4">
                  <c:v>SS</c:v>
                </c:pt>
                <c:pt idx="5">
                  <c:v>SW</c:v>
                </c:pt>
              </c:strCache>
            </c:strRef>
          </c:cat>
          <c:val>
            <c:numRef>
              <c:f>MPI!$T$2:$T$7</c:f>
              <c:numCache>
                <c:formatCode>0.0</c:formatCode>
                <c:ptCount val="6"/>
                <c:pt idx="0">
                  <c:v>0.92166069800853945</c:v>
                </c:pt>
                <c:pt idx="1">
                  <c:v>0.44678911668904542</c:v>
                </c:pt>
                <c:pt idx="2">
                  <c:v>0.39469205102361771</c:v>
                </c:pt>
                <c:pt idx="3">
                  <c:v>0.56581567983342507</c:v>
                </c:pt>
                <c:pt idx="4">
                  <c:v>0.66201926916618437</c:v>
                </c:pt>
                <c:pt idx="5">
                  <c:v>0.88360862704430299</c:v>
                </c:pt>
              </c:numCache>
            </c:numRef>
          </c:val>
          <c:extLst>
            <c:ext xmlns:c16="http://schemas.microsoft.com/office/drawing/2014/chart" uri="{C3380CC4-5D6E-409C-BE32-E72D297353CC}">
              <c16:uniqueId val="{00000004-BA51-4AD9-8E75-B43E4820CDA5}"/>
            </c:ext>
          </c:extLst>
        </c:ser>
        <c:dLbls>
          <c:dLblPos val="outEnd"/>
          <c:showLegendKey val="0"/>
          <c:showVal val="1"/>
          <c:showCatName val="0"/>
          <c:showSerName val="0"/>
          <c:showPercent val="0"/>
          <c:showBubbleSize val="0"/>
        </c:dLbls>
        <c:gapWidth val="444"/>
        <c:overlap val="-90"/>
        <c:axId val="1275580095"/>
        <c:axId val="1275580511"/>
      </c:barChart>
      <c:catAx>
        <c:axId val="127558009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1275580511"/>
        <c:crosses val="autoZero"/>
        <c:auto val="1"/>
        <c:lblAlgn val="ctr"/>
        <c:lblOffset val="100"/>
        <c:noMultiLvlLbl val="0"/>
      </c:catAx>
      <c:valAx>
        <c:axId val="1275580511"/>
        <c:scaling>
          <c:orientation val="minMax"/>
        </c:scaling>
        <c:delete val="1"/>
        <c:axPos val="l"/>
        <c:numFmt formatCode="General" sourceLinked="1"/>
        <c:majorTickMark val="none"/>
        <c:minorTickMark val="none"/>
        <c:tickLblPos val="nextTo"/>
        <c:crossAx val="1275580095"/>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National!$L$63</c:f>
              <c:strCache>
                <c:ptCount val="1"/>
                <c:pt idx="0">
                  <c:v>Unemployed</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National!$K$64:$K$68</c:f>
              <c:strCache>
                <c:ptCount val="5"/>
                <c:pt idx="0">
                  <c:v>15-24</c:v>
                </c:pt>
                <c:pt idx="1">
                  <c:v>25-34</c:v>
                </c:pt>
                <c:pt idx="2">
                  <c:v>35-44</c:v>
                </c:pt>
                <c:pt idx="3">
                  <c:v>45-54</c:v>
                </c:pt>
                <c:pt idx="4">
                  <c:v>55-64</c:v>
                </c:pt>
              </c:strCache>
            </c:strRef>
          </c:cat>
          <c:val>
            <c:numRef>
              <c:f>National!$L$64:$L$68</c:f>
              <c:numCache>
                <c:formatCode>0.00</c:formatCode>
                <c:ptCount val="5"/>
                <c:pt idx="0">
                  <c:v>73.164410509416072</c:v>
                </c:pt>
                <c:pt idx="1">
                  <c:v>58.761436006270252</c:v>
                </c:pt>
                <c:pt idx="2">
                  <c:v>50.747327424104995</c:v>
                </c:pt>
                <c:pt idx="3">
                  <c:v>49.767199285764974</c:v>
                </c:pt>
                <c:pt idx="4">
                  <c:v>51.529757447157216</c:v>
                </c:pt>
              </c:numCache>
            </c:numRef>
          </c:val>
          <c:extLst>
            <c:ext xmlns:c16="http://schemas.microsoft.com/office/drawing/2014/chart" uri="{C3380CC4-5D6E-409C-BE32-E72D297353CC}">
              <c16:uniqueId val="{00000000-B5B5-4460-88C1-7968E71469A3}"/>
            </c:ext>
          </c:extLst>
        </c:ser>
        <c:ser>
          <c:idx val="1"/>
          <c:order val="1"/>
          <c:tx>
            <c:strRef>
              <c:f>National!$M$63</c:f>
              <c:strCache>
                <c:ptCount val="1"/>
                <c:pt idx="0">
                  <c:v>Fully Employed</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National!$K$64:$K$68</c:f>
              <c:strCache>
                <c:ptCount val="5"/>
                <c:pt idx="0">
                  <c:v>15-24</c:v>
                </c:pt>
                <c:pt idx="1">
                  <c:v>25-34</c:v>
                </c:pt>
                <c:pt idx="2">
                  <c:v>35-44</c:v>
                </c:pt>
                <c:pt idx="3">
                  <c:v>45-54</c:v>
                </c:pt>
                <c:pt idx="4">
                  <c:v>55-64</c:v>
                </c:pt>
              </c:strCache>
            </c:strRef>
          </c:cat>
          <c:val>
            <c:numRef>
              <c:f>National!$M$64:$M$68</c:f>
              <c:numCache>
                <c:formatCode>0.00</c:formatCode>
                <c:ptCount val="5"/>
                <c:pt idx="0">
                  <c:v>26.835590505492632</c:v>
                </c:pt>
                <c:pt idx="1">
                  <c:v>41.238564491447832</c:v>
                </c:pt>
                <c:pt idx="2">
                  <c:v>49.252674651772793</c:v>
                </c:pt>
                <c:pt idx="3">
                  <c:v>50.232804473050194</c:v>
                </c:pt>
                <c:pt idx="4">
                  <c:v>48.4702411561261</c:v>
                </c:pt>
              </c:numCache>
            </c:numRef>
          </c:val>
          <c:extLst>
            <c:ext xmlns:c16="http://schemas.microsoft.com/office/drawing/2014/chart" uri="{C3380CC4-5D6E-409C-BE32-E72D297353CC}">
              <c16:uniqueId val="{00000001-B5B5-4460-88C1-7968E71469A3}"/>
            </c:ext>
          </c:extLst>
        </c:ser>
        <c:dLbls>
          <c:dLblPos val="outEnd"/>
          <c:showLegendKey val="0"/>
          <c:showVal val="1"/>
          <c:showCatName val="0"/>
          <c:showSerName val="0"/>
          <c:showPercent val="0"/>
          <c:showBubbleSize val="0"/>
        </c:dLbls>
        <c:gapWidth val="219"/>
        <c:overlap val="-27"/>
        <c:axId val="158594560"/>
        <c:axId val="158596096"/>
      </c:barChart>
      <c:catAx>
        <c:axId val="158594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596096"/>
        <c:crosses val="autoZero"/>
        <c:auto val="1"/>
        <c:lblAlgn val="ctr"/>
        <c:lblOffset val="100"/>
        <c:noMultiLvlLbl val="0"/>
      </c:catAx>
      <c:valAx>
        <c:axId val="15859609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594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National!$M$53</c:f>
              <c:strCache>
                <c:ptCount val="1"/>
                <c:pt idx="0">
                  <c:v>Facebook</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National!$N$52:$U$52</c:f>
              <c:strCache>
                <c:ptCount val="8"/>
                <c:pt idx="0">
                  <c:v>0-13</c:v>
                </c:pt>
                <c:pt idx="1">
                  <c:v>13-17</c:v>
                </c:pt>
                <c:pt idx="2">
                  <c:v>18-24</c:v>
                </c:pt>
                <c:pt idx="3">
                  <c:v>25-34</c:v>
                </c:pt>
                <c:pt idx="4">
                  <c:v>35-44</c:v>
                </c:pt>
                <c:pt idx="5">
                  <c:v>45-54</c:v>
                </c:pt>
                <c:pt idx="6">
                  <c:v>55-64</c:v>
                </c:pt>
                <c:pt idx="7">
                  <c:v>65+</c:v>
                </c:pt>
              </c:strCache>
            </c:strRef>
          </c:cat>
          <c:val>
            <c:numRef>
              <c:f>National!$N$53:$U$53</c:f>
              <c:numCache>
                <c:formatCode>0.0%</c:formatCode>
                <c:ptCount val="8"/>
                <c:pt idx="0" formatCode="General">
                  <c:v>0</c:v>
                </c:pt>
                <c:pt idx="1">
                  <c:v>4.8000000000000001E-2</c:v>
                </c:pt>
                <c:pt idx="2">
                  <c:v>0.30399999999999999</c:v>
                </c:pt>
                <c:pt idx="3">
                  <c:v>0.32800000000000001</c:v>
                </c:pt>
                <c:pt idx="4">
                  <c:v>0.16500000000000001</c:v>
                </c:pt>
                <c:pt idx="5">
                  <c:v>6.5000000000000002E-2</c:v>
                </c:pt>
                <c:pt idx="6">
                  <c:v>3.5999999999999997E-2</c:v>
                </c:pt>
                <c:pt idx="7">
                  <c:v>5.5E-2</c:v>
                </c:pt>
              </c:numCache>
            </c:numRef>
          </c:val>
          <c:extLst>
            <c:ext xmlns:c16="http://schemas.microsoft.com/office/drawing/2014/chart" uri="{C3380CC4-5D6E-409C-BE32-E72D297353CC}">
              <c16:uniqueId val="{00000000-65EC-4F61-AD08-C6C9ADBEB2B6}"/>
            </c:ext>
          </c:extLst>
        </c:ser>
        <c:ser>
          <c:idx val="1"/>
          <c:order val="1"/>
          <c:tx>
            <c:strRef>
              <c:f>National!$M$54</c:f>
              <c:strCache>
                <c:ptCount val="1"/>
                <c:pt idx="0">
                  <c:v>Instagram</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National!$N$52:$U$52</c:f>
              <c:strCache>
                <c:ptCount val="8"/>
                <c:pt idx="0">
                  <c:v>0-13</c:v>
                </c:pt>
                <c:pt idx="1">
                  <c:v>13-17</c:v>
                </c:pt>
                <c:pt idx="2">
                  <c:v>18-24</c:v>
                </c:pt>
                <c:pt idx="3">
                  <c:v>25-34</c:v>
                </c:pt>
                <c:pt idx="4">
                  <c:v>35-44</c:v>
                </c:pt>
                <c:pt idx="5">
                  <c:v>45-54</c:v>
                </c:pt>
                <c:pt idx="6">
                  <c:v>55-64</c:v>
                </c:pt>
                <c:pt idx="7">
                  <c:v>65+</c:v>
                </c:pt>
              </c:strCache>
            </c:strRef>
          </c:cat>
          <c:val>
            <c:numRef>
              <c:f>National!$N$54:$U$54</c:f>
              <c:numCache>
                <c:formatCode>0.0%</c:formatCode>
                <c:ptCount val="8"/>
                <c:pt idx="0" formatCode="General">
                  <c:v>0</c:v>
                </c:pt>
                <c:pt idx="1">
                  <c:v>4.2999999999999997E-2</c:v>
                </c:pt>
                <c:pt idx="2">
                  <c:v>0.318</c:v>
                </c:pt>
                <c:pt idx="3">
                  <c:v>0.36799999999999999</c:v>
                </c:pt>
                <c:pt idx="4">
                  <c:v>0.14199999999999999</c:v>
                </c:pt>
                <c:pt idx="5">
                  <c:v>5.5E-2</c:v>
                </c:pt>
                <c:pt idx="6">
                  <c:v>0.03</c:v>
                </c:pt>
                <c:pt idx="7">
                  <c:v>4.4999999999999998E-2</c:v>
                </c:pt>
              </c:numCache>
            </c:numRef>
          </c:val>
          <c:extLst>
            <c:ext xmlns:c16="http://schemas.microsoft.com/office/drawing/2014/chart" uri="{C3380CC4-5D6E-409C-BE32-E72D297353CC}">
              <c16:uniqueId val="{00000001-65EC-4F61-AD08-C6C9ADBEB2B6}"/>
            </c:ext>
          </c:extLst>
        </c:ser>
        <c:ser>
          <c:idx val="2"/>
          <c:order val="2"/>
          <c:tx>
            <c:strRef>
              <c:f>National!$M$55</c:f>
              <c:strCache>
                <c:ptCount val="1"/>
                <c:pt idx="0">
                  <c:v>Messenger</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National!$N$52:$U$52</c:f>
              <c:strCache>
                <c:ptCount val="8"/>
                <c:pt idx="0">
                  <c:v>0-13</c:v>
                </c:pt>
                <c:pt idx="1">
                  <c:v>13-17</c:v>
                </c:pt>
                <c:pt idx="2">
                  <c:v>18-24</c:v>
                </c:pt>
                <c:pt idx="3">
                  <c:v>25-34</c:v>
                </c:pt>
                <c:pt idx="4">
                  <c:v>35-44</c:v>
                </c:pt>
                <c:pt idx="5">
                  <c:v>45-54</c:v>
                </c:pt>
                <c:pt idx="6">
                  <c:v>55-64</c:v>
                </c:pt>
                <c:pt idx="7">
                  <c:v>65+</c:v>
                </c:pt>
              </c:strCache>
            </c:strRef>
          </c:cat>
          <c:val>
            <c:numRef>
              <c:f>National!$N$55:$U$55</c:f>
              <c:numCache>
                <c:formatCode>0.0%</c:formatCode>
                <c:ptCount val="8"/>
                <c:pt idx="0" formatCode="General">
                  <c:v>0</c:v>
                </c:pt>
                <c:pt idx="1">
                  <c:v>4.7E-2</c:v>
                </c:pt>
                <c:pt idx="2">
                  <c:v>0.29699999999999999</c:v>
                </c:pt>
                <c:pt idx="3">
                  <c:v>0.32400000000000001</c:v>
                </c:pt>
                <c:pt idx="4">
                  <c:v>0.17</c:v>
                </c:pt>
                <c:pt idx="5">
                  <c:v>6.5000000000000002E-2</c:v>
                </c:pt>
                <c:pt idx="6">
                  <c:v>3.5000000000000003E-2</c:v>
                </c:pt>
                <c:pt idx="7">
                  <c:v>6.2E-2</c:v>
                </c:pt>
              </c:numCache>
            </c:numRef>
          </c:val>
          <c:extLst>
            <c:ext xmlns:c16="http://schemas.microsoft.com/office/drawing/2014/chart" uri="{C3380CC4-5D6E-409C-BE32-E72D297353CC}">
              <c16:uniqueId val="{00000002-65EC-4F61-AD08-C6C9ADBEB2B6}"/>
            </c:ext>
          </c:extLst>
        </c:ser>
        <c:ser>
          <c:idx val="3"/>
          <c:order val="3"/>
          <c:tx>
            <c:strRef>
              <c:f>National!$M$56</c:f>
              <c:strCache>
                <c:ptCount val="1"/>
                <c:pt idx="0">
                  <c:v>Population</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National!$N$52:$U$52</c:f>
              <c:strCache>
                <c:ptCount val="8"/>
                <c:pt idx="0">
                  <c:v>0-13</c:v>
                </c:pt>
                <c:pt idx="1">
                  <c:v>13-17</c:v>
                </c:pt>
                <c:pt idx="2">
                  <c:v>18-24</c:v>
                </c:pt>
                <c:pt idx="3">
                  <c:v>25-34</c:v>
                </c:pt>
                <c:pt idx="4">
                  <c:v>35-44</c:v>
                </c:pt>
                <c:pt idx="5">
                  <c:v>45-54</c:v>
                </c:pt>
                <c:pt idx="6">
                  <c:v>55-64</c:v>
                </c:pt>
                <c:pt idx="7">
                  <c:v>65+</c:v>
                </c:pt>
              </c:strCache>
            </c:strRef>
          </c:cat>
          <c:val>
            <c:numRef>
              <c:f>National!$N$56:$U$56</c:f>
              <c:numCache>
                <c:formatCode>0.00%</c:formatCode>
                <c:ptCount val="8"/>
                <c:pt idx="0">
                  <c:v>0.38400000000000001</c:v>
                </c:pt>
                <c:pt idx="1">
                  <c:v>0.114</c:v>
                </c:pt>
                <c:pt idx="2">
                  <c:v>0.13</c:v>
                </c:pt>
                <c:pt idx="3">
                  <c:v>0.13600000000000001</c:v>
                </c:pt>
                <c:pt idx="4">
                  <c:v>0.10099999999999999</c:v>
                </c:pt>
                <c:pt idx="5">
                  <c:v>6.7000000000000004E-2</c:v>
                </c:pt>
                <c:pt idx="6">
                  <c:v>4.0999999999999995E-2</c:v>
                </c:pt>
                <c:pt idx="7">
                  <c:v>2.7999999999999997E-2</c:v>
                </c:pt>
              </c:numCache>
            </c:numRef>
          </c:val>
          <c:extLst>
            <c:ext xmlns:c16="http://schemas.microsoft.com/office/drawing/2014/chart" uri="{C3380CC4-5D6E-409C-BE32-E72D297353CC}">
              <c16:uniqueId val="{00000003-65EC-4F61-AD08-C6C9ADBEB2B6}"/>
            </c:ext>
          </c:extLst>
        </c:ser>
        <c:dLbls>
          <c:dLblPos val="outEnd"/>
          <c:showLegendKey val="0"/>
          <c:showVal val="1"/>
          <c:showCatName val="0"/>
          <c:showSerName val="0"/>
          <c:showPercent val="0"/>
          <c:showBubbleSize val="0"/>
        </c:dLbls>
        <c:gapWidth val="444"/>
        <c:overlap val="-90"/>
        <c:axId val="158647808"/>
        <c:axId val="158649344"/>
      </c:barChart>
      <c:catAx>
        <c:axId val="15864780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158649344"/>
        <c:crosses val="autoZero"/>
        <c:auto val="1"/>
        <c:lblAlgn val="ctr"/>
        <c:lblOffset val="100"/>
        <c:noMultiLvlLbl val="0"/>
      </c:catAx>
      <c:valAx>
        <c:axId val="158649344"/>
        <c:scaling>
          <c:orientation val="minMax"/>
        </c:scaling>
        <c:delete val="1"/>
        <c:axPos val="l"/>
        <c:numFmt formatCode="General" sourceLinked="1"/>
        <c:majorTickMark val="none"/>
        <c:minorTickMark val="none"/>
        <c:tickLblPos val="nextTo"/>
        <c:crossAx val="15864780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National!$AH$25</c:f>
              <c:strCache>
                <c:ptCount val="1"/>
                <c:pt idx="0">
                  <c:v>Share of Population (Muslims)</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National!$AG$26:$AG$31</c:f>
              <c:strCache>
                <c:ptCount val="6"/>
                <c:pt idx="0">
                  <c:v>NC</c:v>
                </c:pt>
                <c:pt idx="1">
                  <c:v>NE</c:v>
                </c:pt>
                <c:pt idx="2">
                  <c:v>NW</c:v>
                </c:pt>
                <c:pt idx="3">
                  <c:v>SE</c:v>
                </c:pt>
                <c:pt idx="4">
                  <c:v>SS</c:v>
                </c:pt>
                <c:pt idx="5">
                  <c:v>SW</c:v>
                </c:pt>
              </c:strCache>
            </c:strRef>
          </c:cat>
          <c:val>
            <c:numRef>
              <c:f>National!$AH$26:$AH$31</c:f>
              <c:numCache>
                <c:formatCode>#,##0.0</c:formatCode>
                <c:ptCount val="6"/>
                <c:pt idx="0">
                  <c:v>46.885714285714286</c:v>
                </c:pt>
                <c:pt idx="1">
                  <c:v>72.850000000000009</c:v>
                </c:pt>
                <c:pt idx="2">
                  <c:v>90.728571428571414</c:v>
                </c:pt>
                <c:pt idx="3">
                  <c:v>0.42000000000000004</c:v>
                </c:pt>
                <c:pt idx="4">
                  <c:v>5.5</c:v>
                </c:pt>
                <c:pt idx="5">
                  <c:v>41.716666666666669</c:v>
                </c:pt>
              </c:numCache>
            </c:numRef>
          </c:val>
          <c:extLst>
            <c:ext xmlns:c16="http://schemas.microsoft.com/office/drawing/2014/chart" uri="{C3380CC4-5D6E-409C-BE32-E72D297353CC}">
              <c16:uniqueId val="{00000000-2D3C-4014-B018-22D0D6120186}"/>
            </c:ext>
          </c:extLst>
        </c:ser>
        <c:ser>
          <c:idx val="1"/>
          <c:order val="1"/>
          <c:tx>
            <c:strRef>
              <c:f>National!$AI$25</c:f>
              <c:strCache>
                <c:ptCount val="1"/>
                <c:pt idx="0">
                  <c:v>Share of Population (Christians)</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National!$AG$26:$AG$31</c:f>
              <c:strCache>
                <c:ptCount val="6"/>
                <c:pt idx="0">
                  <c:v>NC</c:v>
                </c:pt>
                <c:pt idx="1">
                  <c:v>NE</c:v>
                </c:pt>
                <c:pt idx="2">
                  <c:v>NW</c:v>
                </c:pt>
                <c:pt idx="3">
                  <c:v>SE</c:v>
                </c:pt>
                <c:pt idx="4">
                  <c:v>SS</c:v>
                </c:pt>
                <c:pt idx="5">
                  <c:v>SW</c:v>
                </c:pt>
              </c:strCache>
            </c:strRef>
          </c:cat>
          <c:val>
            <c:numRef>
              <c:f>National!$AI$26:$AI$31</c:f>
              <c:numCache>
                <c:formatCode>#,##0.0</c:formatCode>
                <c:ptCount val="6"/>
                <c:pt idx="0">
                  <c:v>40.285714285714285</c:v>
                </c:pt>
                <c:pt idx="1">
                  <c:v>20.733333333333331</c:v>
                </c:pt>
                <c:pt idx="2">
                  <c:v>7.2</c:v>
                </c:pt>
                <c:pt idx="3">
                  <c:v>82.1</c:v>
                </c:pt>
                <c:pt idx="4">
                  <c:v>81.149999999999991</c:v>
                </c:pt>
                <c:pt idx="5">
                  <c:v>52.5</c:v>
                </c:pt>
              </c:numCache>
            </c:numRef>
          </c:val>
          <c:extLst>
            <c:ext xmlns:c16="http://schemas.microsoft.com/office/drawing/2014/chart" uri="{C3380CC4-5D6E-409C-BE32-E72D297353CC}">
              <c16:uniqueId val="{00000001-2D3C-4014-B018-22D0D6120186}"/>
            </c:ext>
          </c:extLst>
        </c:ser>
        <c:ser>
          <c:idx val="2"/>
          <c:order val="2"/>
          <c:tx>
            <c:strRef>
              <c:f>National!$AJ$25</c:f>
              <c:strCache>
                <c:ptCount val="1"/>
                <c:pt idx="0">
                  <c:v>Share of Population (Others)</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National!$AG$26:$AG$31</c:f>
              <c:strCache>
                <c:ptCount val="6"/>
                <c:pt idx="0">
                  <c:v>NC</c:v>
                </c:pt>
                <c:pt idx="1">
                  <c:v>NE</c:v>
                </c:pt>
                <c:pt idx="2">
                  <c:v>NW</c:v>
                </c:pt>
                <c:pt idx="3">
                  <c:v>SE</c:v>
                </c:pt>
                <c:pt idx="4">
                  <c:v>SS</c:v>
                </c:pt>
                <c:pt idx="5">
                  <c:v>SW</c:v>
                </c:pt>
              </c:strCache>
            </c:strRef>
          </c:cat>
          <c:val>
            <c:numRef>
              <c:f>National!$AJ$26:$AJ$31</c:f>
              <c:numCache>
                <c:formatCode>#,##0.0</c:formatCode>
                <c:ptCount val="6"/>
                <c:pt idx="0">
                  <c:v>12.685714285714285</c:v>
                </c:pt>
                <c:pt idx="1">
                  <c:v>6.3833333333333337</c:v>
                </c:pt>
                <c:pt idx="2">
                  <c:v>2.0714285714285712</c:v>
                </c:pt>
                <c:pt idx="3">
                  <c:v>17.5</c:v>
                </c:pt>
                <c:pt idx="4">
                  <c:v>13.35</c:v>
                </c:pt>
                <c:pt idx="5">
                  <c:v>5.7833333333333323</c:v>
                </c:pt>
              </c:numCache>
            </c:numRef>
          </c:val>
          <c:extLst>
            <c:ext xmlns:c16="http://schemas.microsoft.com/office/drawing/2014/chart" uri="{C3380CC4-5D6E-409C-BE32-E72D297353CC}">
              <c16:uniqueId val="{00000002-2D3C-4014-B018-22D0D6120186}"/>
            </c:ext>
          </c:extLst>
        </c:ser>
        <c:dLbls>
          <c:dLblPos val="outEnd"/>
          <c:showLegendKey val="0"/>
          <c:showVal val="1"/>
          <c:showCatName val="0"/>
          <c:showSerName val="0"/>
          <c:showPercent val="0"/>
          <c:showBubbleSize val="0"/>
        </c:dLbls>
        <c:gapWidth val="444"/>
        <c:overlap val="-90"/>
        <c:axId val="158427776"/>
        <c:axId val="158441856"/>
      </c:barChart>
      <c:catAx>
        <c:axId val="1584277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158441856"/>
        <c:crosses val="autoZero"/>
        <c:auto val="1"/>
        <c:lblAlgn val="ctr"/>
        <c:lblOffset val="100"/>
        <c:noMultiLvlLbl val="0"/>
      </c:catAx>
      <c:valAx>
        <c:axId val="158441856"/>
        <c:scaling>
          <c:orientation val="minMax"/>
        </c:scaling>
        <c:delete val="1"/>
        <c:axPos val="l"/>
        <c:numFmt formatCode="#,##0.0" sourceLinked="1"/>
        <c:majorTickMark val="none"/>
        <c:minorTickMark val="none"/>
        <c:tickLblPos val="nextTo"/>
        <c:crossAx val="15842777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National!$AH$33</c:f>
              <c:strCache>
                <c:ptCount val="1"/>
                <c:pt idx="0">
                  <c:v>Registered Voters (Muslim)</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National!$AG$34:$AG$39</c:f>
              <c:strCache>
                <c:ptCount val="6"/>
                <c:pt idx="0">
                  <c:v>NC</c:v>
                </c:pt>
                <c:pt idx="1">
                  <c:v>NE</c:v>
                </c:pt>
                <c:pt idx="2">
                  <c:v>NW</c:v>
                </c:pt>
                <c:pt idx="3">
                  <c:v>SE</c:v>
                </c:pt>
                <c:pt idx="4">
                  <c:v>SS</c:v>
                </c:pt>
                <c:pt idx="5">
                  <c:v>SW</c:v>
                </c:pt>
              </c:strCache>
            </c:strRef>
          </c:cat>
          <c:val>
            <c:numRef>
              <c:f>National!$AH$34:$AH$39</c:f>
              <c:numCache>
                <c:formatCode>0.0</c:formatCode>
                <c:ptCount val="6"/>
                <c:pt idx="0">
                  <c:v>7.6341450471845418</c:v>
                </c:pt>
                <c:pt idx="1">
                  <c:v>9.6982094468036966</c:v>
                </c:pt>
                <c:pt idx="2">
                  <c:v>21.359733781207389</c:v>
                </c:pt>
                <c:pt idx="3">
                  <c:v>5.0146898526217364E-2</c:v>
                </c:pt>
                <c:pt idx="4">
                  <c:v>0.87377181492001854</c:v>
                </c:pt>
                <c:pt idx="5">
                  <c:v>7.9411925157324479</c:v>
                </c:pt>
              </c:numCache>
            </c:numRef>
          </c:val>
          <c:extLst>
            <c:ext xmlns:c16="http://schemas.microsoft.com/office/drawing/2014/chart" uri="{C3380CC4-5D6E-409C-BE32-E72D297353CC}">
              <c16:uniqueId val="{00000000-B1EE-4AC3-A869-5F9699086CFA}"/>
            </c:ext>
          </c:extLst>
        </c:ser>
        <c:ser>
          <c:idx val="1"/>
          <c:order val="1"/>
          <c:tx>
            <c:strRef>
              <c:f>National!$AI$33</c:f>
              <c:strCache>
                <c:ptCount val="1"/>
                <c:pt idx="0">
                  <c:v>Registered Voters (Christians)</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National!$AG$34:$AG$39</c:f>
              <c:strCache>
                <c:ptCount val="6"/>
                <c:pt idx="0">
                  <c:v>NC</c:v>
                </c:pt>
                <c:pt idx="1">
                  <c:v>NE</c:v>
                </c:pt>
                <c:pt idx="2">
                  <c:v>NW</c:v>
                </c:pt>
                <c:pt idx="3">
                  <c:v>SE</c:v>
                </c:pt>
                <c:pt idx="4">
                  <c:v>SS</c:v>
                </c:pt>
                <c:pt idx="5">
                  <c:v>SW</c:v>
                </c:pt>
              </c:strCache>
            </c:strRef>
          </c:cat>
          <c:val>
            <c:numRef>
              <c:f>National!$AI$34:$AI$39</c:f>
              <c:numCache>
                <c:formatCode>0.0</c:formatCode>
                <c:ptCount val="6"/>
                <c:pt idx="0">
                  <c:v>6.5595030569958581</c:v>
                </c:pt>
                <c:pt idx="1">
                  <c:v>2.7601401399734145</c:v>
                </c:pt>
                <c:pt idx="2">
                  <c:v>1.695056814002287</c:v>
                </c:pt>
                <c:pt idx="3">
                  <c:v>9.8025246881010588</c:v>
                </c:pt>
                <c:pt idx="4">
                  <c:v>12.892105960138093</c:v>
                </c:pt>
                <c:pt idx="5">
                  <c:v>9.9939098779693207</c:v>
                </c:pt>
              </c:numCache>
            </c:numRef>
          </c:val>
          <c:extLst>
            <c:ext xmlns:c16="http://schemas.microsoft.com/office/drawing/2014/chart" uri="{C3380CC4-5D6E-409C-BE32-E72D297353CC}">
              <c16:uniqueId val="{00000001-B1EE-4AC3-A869-5F9699086CFA}"/>
            </c:ext>
          </c:extLst>
        </c:ser>
        <c:ser>
          <c:idx val="2"/>
          <c:order val="2"/>
          <c:tx>
            <c:strRef>
              <c:f>National!$AJ$33</c:f>
              <c:strCache>
                <c:ptCount val="1"/>
                <c:pt idx="0">
                  <c:v>Registered Voters (others)</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National!$AG$34:$AG$39</c:f>
              <c:strCache>
                <c:ptCount val="6"/>
                <c:pt idx="0">
                  <c:v>NC</c:v>
                </c:pt>
                <c:pt idx="1">
                  <c:v>NE</c:v>
                </c:pt>
                <c:pt idx="2">
                  <c:v>NW</c:v>
                </c:pt>
                <c:pt idx="3">
                  <c:v>SE</c:v>
                </c:pt>
                <c:pt idx="4">
                  <c:v>SS</c:v>
                </c:pt>
                <c:pt idx="5">
                  <c:v>SW</c:v>
                </c:pt>
              </c:strCache>
            </c:strRef>
          </c:cat>
          <c:val>
            <c:numRef>
              <c:f>National!$AJ$34:$AJ$39</c:f>
              <c:numCache>
                <c:formatCode>0.0</c:formatCode>
                <c:ptCount val="6"/>
                <c:pt idx="0">
                  <c:v>2.0655456434795467</c:v>
                </c:pt>
                <c:pt idx="1">
                  <c:v>0.84978591126191161</c:v>
                </c:pt>
                <c:pt idx="2">
                  <c:v>0.48766515482208644</c:v>
                </c:pt>
                <c:pt idx="3">
                  <c:v>2.0894541052590569</c:v>
                </c:pt>
                <c:pt idx="4">
                  <c:v>2.1208824962149539</c:v>
                </c:pt>
                <c:pt idx="5">
                  <c:v>1.1009164214778902</c:v>
                </c:pt>
              </c:numCache>
            </c:numRef>
          </c:val>
          <c:extLst>
            <c:ext xmlns:c16="http://schemas.microsoft.com/office/drawing/2014/chart" uri="{C3380CC4-5D6E-409C-BE32-E72D297353CC}">
              <c16:uniqueId val="{00000002-B1EE-4AC3-A869-5F9699086CFA}"/>
            </c:ext>
          </c:extLst>
        </c:ser>
        <c:dLbls>
          <c:dLblPos val="outEnd"/>
          <c:showLegendKey val="0"/>
          <c:showVal val="1"/>
          <c:showCatName val="0"/>
          <c:showSerName val="0"/>
          <c:showPercent val="0"/>
          <c:showBubbleSize val="0"/>
        </c:dLbls>
        <c:gapWidth val="444"/>
        <c:overlap val="-90"/>
        <c:axId val="158491392"/>
        <c:axId val="158492928"/>
      </c:barChart>
      <c:catAx>
        <c:axId val="1584913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158492928"/>
        <c:crosses val="autoZero"/>
        <c:auto val="1"/>
        <c:lblAlgn val="ctr"/>
        <c:lblOffset val="100"/>
        <c:noMultiLvlLbl val="0"/>
      </c:catAx>
      <c:valAx>
        <c:axId val="158492928"/>
        <c:scaling>
          <c:orientation val="minMax"/>
        </c:scaling>
        <c:delete val="1"/>
        <c:axPos val="l"/>
        <c:numFmt formatCode="0.0" sourceLinked="1"/>
        <c:majorTickMark val="none"/>
        <c:minorTickMark val="none"/>
        <c:tickLblPos val="nextTo"/>
        <c:crossAx val="15849139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'S-N data'!$C$37</c:f>
              <c:strCache>
                <c:ptCount val="1"/>
                <c:pt idx="0">
                  <c:v>Unemployment Rate</c:v>
                </c:pt>
              </c:strCache>
            </c:strRef>
          </c:tx>
          <c:spPr>
            <a:solidFill>
              <a:srgbClr val="FF0000"/>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'S-N data'!$B$38:$B$40</c:f>
              <c:strCache>
                <c:ptCount val="3"/>
                <c:pt idx="0">
                  <c:v>Anambra</c:v>
                </c:pt>
                <c:pt idx="1">
                  <c:v>Ekiti</c:v>
                </c:pt>
                <c:pt idx="2">
                  <c:v>Osun</c:v>
                </c:pt>
              </c:strCache>
            </c:strRef>
          </c:cat>
          <c:val>
            <c:numRef>
              <c:f>'S-N data'!$C$38:$C$40</c:f>
              <c:numCache>
                <c:formatCode>0.0</c:formatCode>
                <c:ptCount val="3"/>
                <c:pt idx="0">
                  <c:v>44.218936813111839</c:v>
                </c:pt>
                <c:pt idx="1">
                  <c:v>32.207766807637761</c:v>
                </c:pt>
                <c:pt idx="2">
                  <c:v>11.654412925044303</c:v>
                </c:pt>
              </c:numCache>
            </c:numRef>
          </c:val>
          <c:extLst>
            <c:ext xmlns:c16="http://schemas.microsoft.com/office/drawing/2014/chart" uri="{C3380CC4-5D6E-409C-BE32-E72D297353CC}">
              <c16:uniqueId val="{00000000-1CDB-478D-9259-AD098203A318}"/>
            </c:ext>
          </c:extLst>
        </c:ser>
        <c:ser>
          <c:idx val="1"/>
          <c:order val="1"/>
          <c:tx>
            <c:strRef>
              <c:f>'S-N data'!$D$37</c:f>
              <c:strCache>
                <c:ptCount val="1"/>
                <c:pt idx="0">
                  <c:v>Voter Turnout Rate</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'S-N data'!$B$38:$B$40</c:f>
              <c:strCache>
                <c:ptCount val="3"/>
                <c:pt idx="0">
                  <c:v>Anambra</c:v>
                </c:pt>
                <c:pt idx="1">
                  <c:v>Ekiti</c:v>
                </c:pt>
                <c:pt idx="2">
                  <c:v>Osun</c:v>
                </c:pt>
              </c:strCache>
            </c:strRef>
          </c:cat>
          <c:val>
            <c:numRef>
              <c:f>'S-N data'!$D$38:$D$40</c:f>
              <c:numCache>
                <c:formatCode>_-* #,##0.0_-;\-* #,##0.0_-;_-* "-"??_-;_-@_-</c:formatCode>
                <c:ptCount val="3"/>
                <c:pt idx="0">
                  <c:v>11.3</c:v>
                </c:pt>
                <c:pt idx="1">
                  <c:v>38.185945405128642</c:v>
                </c:pt>
                <c:pt idx="2">
                  <c:v>43.816637042425306</c:v>
                </c:pt>
              </c:numCache>
            </c:numRef>
          </c:val>
          <c:extLst>
            <c:ext xmlns:c16="http://schemas.microsoft.com/office/drawing/2014/chart" uri="{C3380CC4-5D6E-409C-BE32-E72D297353CC}">
              <c16:uniqueId val="{00000001-1CDB-478D-9259-AD098203A318}"/>
            </c:ext>
          </c:extLst>
        </c:ser>
        <c:dLbls>
          <c:dLblPos val="outEnd"/>
          <c:showLegendKey val="0"/>
          <c:showVal val="1"/>
          <c:showCatName val="0"/>
          <c:showSerName val="0"/>
          <c:showPercent val="0"/>
          <c:showBubbleSize val="0"/>
        </c:dLbls>
        <c:gapWidth val="444"/>
        <c:overlap val="-90"/>
        <c:axId val="158529024"/>
        <c:axId val="158530560"/>
      </c:barChart>
      <c:catAx>
        <c:axId val="1585290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158530560"/>
        <c:crosses val="autoZero"/>
        <c:auto val="1"/>
        <c:lblAlgn val="ctr"/>
        <c:lblOffset val="100"/>
        <c:noMultiLvlLbl val="0"/>
      </c:catAx>
      <c:valAx>
        <c:axId val="158530560"/>
        <c:scaling>
          <c:orientation val="minMax"/>
        </c:scaling>
        <c:delete val="1"/>
        <c:axPos val="l"/>
        <c:numFmt formatCode="0.0" sourceLinked="1"/>
        <c:majorTickMark val="none"/>
        <c:minorTickMark val="none"/>
        <c:tickLblPos val="nextTo"/>
        <c:crossAx val="15852902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'S-N data'!$AQ$16</c:f>
              <c:strCache>
                <c:ptCount val="1"/>
                <c:pt idx="0">
                  <c:v>Winner</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'S-N data'!$AP$17:$AP$19</c:f>
              <c:strCache>
                <c:ptCount val="3"/>
                <c:pt idx="0">
                  <c:v>Anambra</c:v>
                </c:pt>
                <c:pt idx="1">
                  <c:v>Ekiti</c:v>
                </c:pt>
                <c:pt idx="2">
                  <c:v>Osun</c:v>
                </c:pt>
              </c:strCache>
            </c:strRef>
          </c:cat>
          <c:val>
            <c:numRef>
              <c:f>'S-N data'!$AQ$17:$AQ$19</c:f>
              <c:numCache>
                <c:formatCode>0.0</c:formatCode>
                <c:ptCount val="3"/>
                <c:pt idx="0" formatCode="General">
                  <c:v>45.3</c:v>
                </c:pt>
                <c:pt idx="1">
                  <c:v>51.211191945374459</c:v>
                </c:pt>
                <c:pt idx="2">
                  <c:v>48.317019954579223</c:v>
                </c:pt>
              </c:numCache>
            </c:numRef>
          </c:val>
          <c:extLst>
            <c:ext xmlns:c16="http://schemas.microsoft.com/office/drawing/2014/chart" uri="{C3380CC4-5D6E-409C-BE32-E72D297353CC}">
              <c16:uniqueId val="{00000000-E9AF-4CD1-A3BA-AC203242DC94}"/>
            </c:ext>
          </c:extLst>
        </c:ser>
        <c:ser>
          <c:idx val="1"/>
          <c:order val="1"/>
          <c:tx>
            <c:strRef>
              <c:f>'S-N data'!$AR$16</c:f>
              <c:strCache>
                <c:ptCount val="1"/>
                <c:pt idx="0">
                  <c:v>Runner-up</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'S-N data'!$AP$17:$AP$19</c:f>
              <c:strCache>
                <c:ptCount val="3"/>
                <c:pt idx="0">
                  <c:v>Anambra</c:v>
                </c:pt>
                <c:pt idx="1">
                  <c:v>Ekiti</c:v>
                </c:pt>
                <c:pt idx="2">
                  <c:v>Osun</c:v>
                </c:pt>
              </c:strCache>
            </c:strRef>
          </c:cat>
          <c:val>
            <c:numRef>
              <c:f>'S-N data'!$AR$17:$AR$19</c:f>
              <c:numCache>
                <c:formatCode>0.0</c:formatCode>
                <c:ptCount val="3"/>
                <c:pt idx="0" formatCode="General">
                  <c:v>21.7</c:v>
                </c:pt>
                <c:pt idx="1">
                  <c:v>21.934551074959419</c:v>
                </c:pt>
                <c:pt idx="2">
                  <c:v>45.619265295858284</c:v>
                </c:pt>
              </c:numCache>
            </c:numRef>
          </c:val>
          <c:extLst>
            <c:ext xmlns:c16="http://schemas.microsoft.com/office/drawing/2014/chart" uri="{C3380CC4-5D6E-409C-BE32-E72D297353CC}">
              <c16:uniqueId val="{00000001-E9AF-4CD1-A3BA-AC203242DC94}"/>
            </c:ext>
          </c:extLst>
        </c:ser>
        <c:dLbls>
          <c:dLblPos val="outEnd"/>
          <c:showLegendKey val="0"/>
          <c:showVal val="1"/>
          <c:showCatName val="0"/>
          <c:showSerName val="0"/>
          <c:showPercent val="0"/>
          <c:showBubbleSize val="0"/>
        </c:dLbls>
        <c:gapWidth val="444"/>
        <c:overlap val="-90"/>
        <c:axId val="160230784"/>
        <c:axId val="160240768"/>
      </c:barChart>
      <c:catAx>
        <c:axId val="1602307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160240768"/>
        <c:crosses val="autoZero"/>
        <c:auto val="1"/>
        <c:lblAlgn val="ctr"/>
        <c:lblOffset val="100"/>
        <c:noMultiLvlLbl val="0"/>
      </c:catAx>
      <c:valAx>
        <c:axId val="160240768"/>
        <c:scaling>
          <c:orientation val="minMax"/>
        </c:scaling>
        <c:delete val="1"/>
        <c:axPos val="l"/>
        <c:numFmt formatCode="General" sourceLinked="1"/>
        <c:majorTickMark val="none"/>
        <c:minorTickMark val="none"/>
        <c:tickLblPos val="nextTo"/>
        <c:crossAx val="16023078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B81A1-C705-46E4-BBF2-BA0BBDC5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28</Pages>
  <Words>8507</Words>
  <Characters>48494</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Aminu, Nasir</cp:lastModifiedBy>
  <cp:revision>490</cp:revision>
  <dcterms:created xsi:type="dcterms:W3CDTF">2022-10-13T10:50:00Z</dcterms:created>
  <dcterms:modified xsi:type="dcterms:W3CDTF">2023-03-11T14:45:00Z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9e7065d9c28479d8e76a11850e681c827d7974ea5566094c318a8b10f6e51f79</vt:lpwstr>
  </property>
</Properties>
</file>